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93" w:rsidRDefault="00D24C93" w:rsidP="00D24C9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Draft proposal</w:t>
      </w:r>
    </w:p>
    <w:p w:rsidR="00D24C93" w:rsidRDefault="00D24C93" w:rsidP="00D24C93">
      <w:pPr>
        <w:jc w:val="center"/>
        <w:rPr>
          <w:b/>
          <w:sz w:val="24"/>
          <w:szCs w:val="24"/>
        </w:rPr>
      </w:pPr>
      <w:r w:rsidRPr="002F2B50">
        <w:rPr>
          <w:b/>
          <w:sz w:val="24"/>
          <w:szCs w:val="24"/>
        </w:rPr>
        <w:t xml:space="preserve">Simplification as regards </w:t>
      </w:r>
      <w:r>
        <w:rPr>
          <w:b/>
          <w:sz w:val="24"/>
          <w:szCs w:val="24"/>
        </w:rPr>
        <w:t>the Payment for Young Farmers</w:t>
      </w:r>
    </w:p>
    <w:p w:rsidR="00D24C93" w:rsidRDefault="00D24C9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28"/>
        <w:gridCol w:w="7260"/>
      </w:tblGrid>
      <w:tr w:rsidR="006826BD" w:rsidRPr="007C5F0B" w:rsidTr="0045787D">
        <w:tc>
          <w:tcPr>
            <w:tcW w:w="2028" w:type="dxa"/>
            <w:shd w:val="clear" w:color="auto" w:fill="FFFF00"/>
          </w:tcPr>
          <w:p w:rsidR="006826BD" w:rsidRPr="007C5F0B" w:rsidRDefault="006826BD" w:rsidP="00D24C93">
            <w:pPr>
              <w:spacing w:before="120" w:after="120"/>
              <w:rPr>
                <w:rFonts w:cstheme="minorHAnsi"/>
                <w:highlight w:val="yellow"/>
              </w:rPr>
            </w:pPr>
            <w:r w:rsidRPr="007C5F0B">
              <w:rPr>
                <w:rFonts w:cstheme="minorHAnsi"/>
                <w:highlight w:val="yellow"/>
              </w:rPr>
              <w:t>Title</w:t>
            </w:r>
          </w:p>
        </w:tc>
        <w:tc>
          <w:tcPr>
            <w:tcW w:w="7260" w:type="dxa"/>
            <w:shd w:val="clear" w:color="auto" w:fill="FFFF00"/>
          </w:tcPr>
          <w:p w:rsidR="006826BD" w:rsidRPr="007C5F0B" w:rsidRDefault="00F92278" w:rsidP="00D24C93">
            <w:pPr>
              <w:spacing w:before="120" w:after="120"/>
              <w:rPr>
                <w:rFonts w:cstheme="minorHAnsi"/>
                <w:b/>
              </w:rPr>
            </w:pPr>
            <w:r w:rsidRPr="007C5F0B">
              <w:rPr>
                <w:rFonts w:cstheme="minorHAnsi"/>
                <w:b/>
              </w:rPr>
              <w:t>Direc</w:t>
            </w:r>
            <w:r w:rsidR="007C5F0B" w:rsidRPr="007C5F0B">
              <w:rPr>
                <w:rFonts w:cstheme="minorHAnsi"/>
                <w:b/>
              </w:rPr>
              <w:t>t</w:t>
            </w:r>
            <w:r w:rsidRPr="007C5F0B">
              <w:rPr>
                <w:rFonts w:cstheme="minorHAnsi"/>
                <w:b/>
              </w:rPr>
              <w:t xml:space="preserve"> payments – </w:t>
            </w:r>
            <w:r w:rsidR="007C5F0B" w:rsidRPr="007C5F0B">
              <w:rPr>
                <w:rFonts w:cstheme="minorHAnsi"/>
                <w:b/>
              </w:rPr>
              <w:t>Payment for Young Farmers</w:t>
            </w:r>
          </w:p>
        </w:tc>
      </w:tr>
      <w:tr w:rsidR="006826BD" w:rsidRPr="007C5F0B" w:rsidTr="0045787D">
        <w:tc>
          <w:tcPr>
            <w:tcW w:w="2028" w:type="dxa"/>
          </w:tcPr>
          <w:p w:rsidR="006826BD" w:rsidRPr="007C5F0B" w:rsidRDefault="006826BD" w:rsidP="00D24C93">
            <w:pPr>
              <w:spacing w:before="120" w:after="120"/>
              <w:rPr>
                <w:rFonts w:cstheme="minorHAnsi"/>
              </w:rPr>
            </w:pPr>
            <w:r w:rsidRPr="007C5F0B">
              <w:rPr>
                <w:rFonts w:cstheme="minorHAnsi"/>
              </w:rPr>
              <w:t>Scope</w:t>
            </w:r>
          </w:p>
        </w:tc>
        <w:tc>
          <w:tcPr>
            <w:tcW w:w="7260" w:type="dxa"/>
          </w:tcPr>
          <w:p w:rsidR="007C5F0B" w:rsidRPr="007C5F0B" w:rsidRDefault="00371A1D" w:rsidP="00D24C9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Y</w:t>
            </w:r>
            <w:r w:rsidR="007C5F0B" w:rsidRPr="007C5F0B">
              <w:rPr>
                <w:rFonts w:cstheme="minorHAnsi"/>
              </w:rPr>
              <w:t>oung Farmer</w:t>
            </w:r>
            <w:r>
              <w:rPr>
                <w:rFonts w:cstheme="minorHAnsi"/>
              </w:rPr>
              <w:t xml:space="preserve"> Scheme, Payment for Young Farmers </w:t>
            </w:r>
          </w:p>
        </w:tc>
      </w:tr>
      <w:tr w:rsidR="006826BD" w:rsidRPr="007C5F0B" w:rsidTr="0045787D">
        <w:tc>
          <w:tcPr>
            <w:tcW w:w="2028" w:type="dxa"/>
          </w:tcPr>
          <w:p w:rsidR="006826BD" w:rsidRPr="007C5F0B" w:rsidRDefault="006826BD" w:rsidP="00D24C93">
            <w:pPr>
              <w:spacing w:before="120" w:after="120"/>
              <w:rPr>
                <w:rFonts w:cstheme="minorHAnsi"/>
              </w:rPr>
            </w:pPr>
            <w:r w:rsidRPr="007C5F0B">
              <w:rPr>
                <w:rFonts w:cstheme="minorHAnsi"/>
              </w:rPr>
              <w:t>Legal basis</w:t>
            </w:r>
          </w:p>
        </w:tc>
        <w:tc>
          <w:tcPr>
            <w:tcW w:w="7260" w:type="dxa"/>
          </w:tcPr>
          <w:p w:rsidR="006826BD" w:rsidRPr="007C5F0B" w:rsidRDefault="00723AEC" w:rsidP="00D24C93">
            <w:pPr>
              <w:spacing w:before="120" w:after="120"/>
              <w:rPr>
                <w:rFonts w:cstheme="minorHAnsi"/>
              </w:rPr>
            </w:pPr>
            <w:r w:rsidRPr="007C5F0B">
              <w:rPr>
                <w:rFonts w:cstheme="minorHAnsi"/>
              </w:rPr>
              <w:t xml:space="preserve">Chapter </w:t>
            </w:r>
            <w:r w:rsidR="007C5F0B" w:rsidRPr="007C5F0B">
              <w:rPr>
                <w:rFonts w:cstheme="minorHAnsi"/>
              </w:rPr>
              <w:t>5</w:t>
            </w:r>
            <w:r w:rsidRPr="007C5F0B">
              <w:rPr>
                <w:rFonts w:cstheme="minorHAnsi"/>
              </w:rPr>
              <w:t xml:space="preserve"> of Title I</w:t>
            </w:r>
            <w:r w:rsidR="007C5F0B" w:rsidRPr="007C5F0B">
              <w:rPr>
                <w:rFonts w:cstheme="minorHAnsi"/>
              </w:rPr>
              <w:t>II</w:t>
            </w:r>
            <w:r w:rsidRPr="007C5F0B">
              <w:rPr>
                <w:rFonts w:cstheme="minorHAnsi"/>
              </w:rPr>
              <w:t xml:space="preserve"> of </w:t>
            </w:r>
            <w:r w:rsidR="006826BD" w:rsidRPr="007C5F0B">
              <w:rPr>
                <w:rFonts w:cstheme="minorHAnsi"/>
              </w:rPr>
              <w:t>Regulation 13</w:t>
            </w:r>
            <w:r w:rsidRPr="007C5F0B">
              <w:rPr>
                <w:rFonts w:cstheme="minorHAnsi"/>
              </w:rPr>
              <w:t>0</w:t>
            </w:r>
            <w:r w:rsidR="006826BD" w:rsidRPr="007C5F0B">
              <w:rPr>
                <w:rFonts w:cstheme="minorHAnsi"/>
              </w:rPr>
              <w:t>7/2013</w:t>
            </w:r>
          </w:p>
        </w:tc>
      </w:tr>
      <w:tr w:rsidR="00723AEC" w:rsidRPr="007C5F0B" w:rsidTr="0045787D">
        <w:tc>
          <w:tcPr>
            <w:tcW w:w="2028" w:type="dxa"/>
          </w:tcPr>
          <w:p w:rsidR="006826BD" w:rsidRPr="007C5F0B" w:rsidRDefault="006826BD" w:rsidP="00D24C93">
            <w:pPr>
              <w:spacing w:before="120" w:after="120"/>
              <w:rPr>
                <w:rFonts w:cstheme="minorHAnsi"/>
              </w:rPr>
            </w:pPr>
            <w:r w:rsidRPr="007C5F0B">
              <w:rPr>
                <w:rFonts w:cstheme="minorHAnsi"/>
              </w:rPr>
              <w:t>Current Commission Regulations</w:t>
            </w:r>
          </w:p>
        </w:tc>
        <w:tc>
          <w:tcPr>
            <w:tcW w:w="7260" w:type="dxa"/>
          </w:tcPr>
          <w:p w:rsidR="00723AEC" w:rsidRPr="00D24C93" w:rsidRDefault="00723AEC" w:rsidP="00D24C93">
            <w:pPr>
              <w:spacing w:before="120" w:after="120"/>
              <w:rPr>
                <w:rFonts w:cstheme="minorHAnsi"/>
                <w:b/>
              </w:rPr>
            </w:pPr>
            <w:r w:rsidRPr="00D24C93">
              <w:rPr>
                <w:rFonts w:cstheme="minorHAnsi"/>
                <w:b/>
              </w:rPr>
              <w:t>Commission Delegated Regulation (EU) No 639/2014</w:t>
            </w:r>
          </w:p>
        </w:tc>
      </w:tr>
      <w:tr w:rsidR="00723AEC" w:rsidRPr="007C5F0B" w:rsidTr="0045787D">
        <w:tc>
          <w:tcPr>
            <w:tcW w:w="2028" w:type="dxa"/>
          </w:tcPr>
          <w:p w:rsidR="006826BD" w:rsidRPr="007C5F0B" w:rsidRDefault="00D24C93" w:rsidP="00D24C9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Foreseen date of adoption</w:t>
            </w:r>
          </w:p>
        </w:tc>
        <w:tc>
          <w:tcPr>
            <w:tcW w:w="7260" w:type="dxa"/>
          </w:tcPr>
          <w:p w:rsidR="00F6462C" w:rsidRPr="007C5F0B" w:rsidRDefault="00D24C93" w:rsidP="00D24C93">
            <w:pPr>
              <w:spacing w:before="120" w:after="120"/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Beginning of 2016</w:t>
            </w:r>
          </w:p>
        </w:tc>
      </w:tr>
      <w:tr w:rsidR="00D24C93" w:rsidRPr="007C5F0B" w:rsidTr="0045787D">
        <w:tc>
          <w:tcPr>
            <w:tcW w:w="2028" w:type="dxa"/>
          </w:tcPr>
          <w:p w:rsidR="00D24C93" w:rsidRDefault="00D24C93" w:rsidP="00D24C9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Foreseen implementation (optional)</w:t>
            </w:r>
            <w:bookmarkStart w:id="0" w:name="_GoBack"/>
            <w:bookmarkEnd w:id="0"/>
          </w:p>
        </w:tc>
        <w:tc>
          <w:tcPr>
            <w:tcW w:w="7260" w:type="dxa"/>
          </w:tcPr>
          <w:p w:rsidR="00D24C93" w:rsidRDefault="00D24C93" w:rsidP="00D24C93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2016 or 2017 at the choice of MS</w:t>
            </w:r>
          </w:p>
        </w:tc>
      </w:tr>
      <w:tr w:rsidR="00723AEC" w:rsidRPr="007C5F0B" w:rsidTr="0045787D">
        <w:tc>
          <w:tcPr>
            <w:tcW w:w="2028" w:type="dxa"/>
          </w:tcPr>
          <w:p w:rsidR="006826BD" w:rsidRPr="007C5F0B" w:rsidRDefault="006E624A" w:rsidP="00D24C93">
            <w:pPr>
              <w:spacing w:before="120" w:after="120"/>
              <w:rPr>
                <w:rFonts w:cstheme="minorHAnsi"/>
              </w:rPr>
            </w:pPr>
            <w:r w:rsidRPr="007C5F0B">
              <w:rPr>
                <w:rFonts w:cstheme="minorHAnsi"/>
              </w:rPr>
              <w:t>Purpose of proposal</w:t>
            </w:r>
          </w:p>
        </w:tc>
        <w:tc>
          <w:tcPr>
            <w:tcW w:w="7260" w:type="dxa"/>
          </w:tcPr>
          <w:p w:rsidR="00371A1D" w:rsidRDefault="00557E5E" w:rsidP="00D24C93">
            <w:pPr>
              <w:pStyle w:val="Bullet0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The Commission's proposal</w:t>
            </w:r>
            <w:r w:rsidRPr="00371A1D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aims at creating </w:t>
            </w:r>
            <w:r w:rsidR="007F7E93">
              <w:rPr>
                <w:rFonts w:asciiTheme="minorHAnsi" w:hAnsiTheme="minorHAnsi" w:cstheme="minorHAnsi"/>
                <w:sz w:val="22"/>
              </w:rPr>
              <w:t xml:space="preserve">the </w:t>
            </w:r>
            <w:r w:rsidRPr="00371A1D">
              <w:rPr>
                <w:rFonts w:asciiTheme="minorHAnsi" w:hAnsiTheme="minorHAnsi" w:cstheme="minorHAnsi"/>
                <w:sz w:val="22"/>
              </w:rPr>
              <w:t xml:space="preserve">conditions for increasing the effectiveness and the outreach of the </w:t>
            </w:r>
            <w:r w:rsidR="007F7E93">
              <w:rPr>
                <w:rFonts w:asciiTheme="minorHAnsi" w:hAnsiTheme="minorHAnsi" w:cstheme="minorHAnsi"/>
                <w:sz w:val="22"/>
              </w:rPr>
              <w:t>1</w:t>
            </w:r>
            <w:r w:rsidR="007F7E93" w:rsidRPr="00C36454">
              <w:rPr>
                <w:rFonts w:asciiTheme="minorHAnsi" w:hAnsiTheme="minorHAnsi" w:cstheme="minorHAnsi"/>
                <w:sz w:val="22"/>
                <w:vertAlign w:val="superscript"/>
              </w:rPr>
              <w:t>st</w:t>
            </w:r>
            <w:r w:rsidR="007F7E93">
              <w:rPr>
                <w:rFonts w:asciiTheme="minorHAnsi" w:hAnsiTheme="minorHAnsi" w:cstheme="minorHAnsi"/>
                <w:sz w:val="22"/>
              </w:rPr>
              <w:t xml:space="preserve"> pillar's </w:t>
            </w:r>
            <w:r w:rsidRPr="00371A1D">
              <w:rPr>
                <w:rFonts w:asciiTheme="minorHAnsi" w:hAnsiTheme="minorHAnsi" w:cstheme="minorHAnsi"/>
                <w:sz w:val="22"/>
              </w:rPr>
              <w:t>young farmer</w:t>
            </w:r>
            <w:r w:rsidR="007F7E93">
              <w:rPr>
                <w:rFonts w:asciiTheme="minorHAnsi" w:hAnsiTheme="minorHAnsi" w:cstheme="minorHAnsi"/>
                <w:sz w:val="22"/>
              </w:rPr>
              <w:t>'s payment (YFP)</w:t>
            </w:r>
            <w:r w:rsidRPr="00371A1D">
              <w:rPr>
                <w:rFonts w:asciiTheme="minorHAnsi" w:hAnsiTheme="minorHAnsi" w:cstheme="minorHAnsi"/>
                <w:sz w:val="22"/>
              </w:rPr>
              <w:t xml:space="preserve"> and for reducing the administrative burden linked to controls, as well as for aligning the pillar one provisions for access to YFP with those of pillar two. </w:t>
            </w:r>
            <w:r w:rsidR="00542CF2" w:rsidRPr="007C5F0B">
              <w:rPr>
                <w:rFonts w:asciiTheme="minorHAnsi" w:hAnsiTheme="minorHAnsi" w:cstheme="minorHAnsi"/>
                <w:sz w:val="22"/>
              </w:rPr>
              <w:t xml:space="preserve">The following issues are covered: </w:t>
            </w:r>
          </w:p>
          <w:p w:rsidR="00AA51B1" w:rsidRDefault="00557E5E" w:rsidP="00D24C93">
            <w:pPr>
              <w:pStyle w:val="Bullet0"/>
              <w:numPr>
                <w:ilvl w:val="0"/>
                <w:numId w:val="2"/>
              </w:numPr>
              <w:ind w:left="36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The proposal </w:t>
            </w:r>
            <w:r w:rsidR="00AA51B1">
              <w:rPr>
                <w:rFonts w:asciiTheme="minorHAnsi" w:hAnsiTheme="minorHAnsi" w:cstheme="minorHAnsi"/>
                <w:sz w:val="22"/>
              </w:rPr>
              <w:t>i</w:t>
            </w:r>
            <w:r w:rsidR="00371A1D" w:rsidRPr="00371A1D">
              <w:rPr>
                <w:rFonts w:asciiTheme="minorHAnsi" w:hAnsiTheme="minorHAnsi" w:cstheme="minorHAnsi"/>
                <w:sz w:val="22"/>
              </w:rPr>
              <w:t>ntroduc</w:t>
            </w:r>
            <w:r w:rsidR="00AA51B1">
              <w:rPr>
                <w:rFonts w:asciiTheme="minorHAnsi" w:hAnsiTheme="minorHAnsi" w:cstheme="minorHAnsi"/>
                <w:sz w:val="22"/>
              </w:rPr>
              <w:t>es</w:t>
            </w:r>
            <w:r w:rsidR="00371A1D" w:rsidRPr="00371A1D">
              <w:rPr>
                <w:rFonts w:asciiTheme="minorHAnsi" w:hAnsiTheme="minorHAnsi" w:cstheme="minorHAnsi"/>
                <w:sz w:val="22"/>
              </w:rPr>
              <w:t xml:space="preserve"> a possibility for Member States to exclude legal bodies controlled jointly by young farmers and other farmers who do not meet the young farmer conditions from the mandatory </w:t>
            </w:r>
            <w:r w:rsidR="007F7E93">
              <w:rPr>
                <w:rFonts w:asciiTheme="minorHAnsi" w:hAnsiTheme="minorHAnsi" w:cstheme="minorHAnsi"/>
                <w:sz w:val="22"/>
              </w:rPr>
              <w:t>YFP</w:t>
            </w:r>
            <w:r w:rsidR="00371A1D" w:rsidRPr="00371A1D">
              <w:rPr>
                <w:rFonts w:asciiTheme="minorHAnsi" w:hAnsiTheme="minorHAnsi" w:cstheme="minorHAnsi"/>
                <w:sz w:val="22"/>
              </w:rPr>
              <w:t xml:space="preserve">. With the proposed amendment, as from 2016 or 2017, Member States may decide to limit the access of legal bodies to those controlled solely by young farmers. </w:t>
            </w:r>
          </w:p>
          <w:p w:rsidR="00AA51B1" w:rsidRDefault="00AA51B1" w:rsidP="00D24C93">
            <w:pPr>
              <w:pStyle w:val="Bullet0"/>
              <w:numPr>
                <w:ilvl w:val="0"/>
                <w:numId w:val="2"/>
              </w:numPr>
              <w:ind w:left="36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</w:t>
            </w:r>
            <w:r w:rsidRPr="00AA51B1">
              <w:rPr>
                <w:rFonts w:asciiTheme="minorHAnsi" w:hAnsiTheme="minorHAnsi" w:cstheme="minorHAnsi"/>
                <w:sz w:val="22"/>
              </w:rPr>
              <w:t xml:space="preserve">he proposal clarifies that it is up to Member States to decide how to treat 2015 (and possibly 2016) beneficiaries who would no longer qualify for the young farmer payment if a Member State changes the rules for joint control of legal bodies. </w:t>
            </w:r>
          </w:p>
          <w:p w:rsidR="00371A1D" w:rsidRPr="00AA51B1" w:rsidRDefault="00AA51B1" w:rsidP="00D24C93">
            <w:pPr>
              <w:pStyle w:val="Bullet0"/>
              <w:numPr>
                <w:ilvl w:val="0"/>
                <w:numId w:val="2"/>
              </w:numPr>
              <w:ind w:left="36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The proposal </w:t>
            </w:r>
            <w:r w:rsidRPr="00AA51B1">
              <w:rPr>
                <w:rFonts w:asciiTheme="minorHAnsi" w:hAnsiTheme="minorHAnsi" w:cstheme="minorHAnsi"/>
                <w:sz w:val="22"/>
              </w:rPr>
              <w:t xml:space="preserve">explains the applicable rules on determining the date of setting up if a Member State uses this new derogation to exclude joint control young farmer/non-young farmer. </w:t>
            </w:r>
          </w:p>
        </w:tc>
      </w:tr>
    </w:tbl>
    <w:p w:rsidR="001E4A7D" w:rsidRPr="007C5F0B" w:rsidRDefault="00FE773C" w:rsidP="00211167">
      <w:pPr>
        <w:jc w:val="right"/>
        <w:rPr>
          <w:rFonts w:cstheme="minorHAnsi"/>
          <w:b/>
          <w:i/>
        </w:rPr>
      </w:pPr>
      <w:r w:rsidRPr="007C5F0B">
        <w:rPr>
          <w:rFonts w:cstheme="minorHAnsi"/>
          <w:b/>
          <w:i/>
        </w:rPr>
        <w:t xml:space="preserve">Version: </w:t>
      </w:r>
      <w:r w:rsidR="007C5F0B">
        <w:rPr>
          <w:rFonts w:cstheme="minorHAnsi"/>
          <w:b/>
          <w:i/>
        </w:rPr>
        <w:t>2</w:t>
      </w:r>
      <w:r w:rsidR="00C36454">
        <w:rPr>
          <w:rFonts w:cstheme="minorHAnsi"/>
          <w:b/>
          <w:i/>
        </w:rPr>
        <w:t>1</w:t>
      </w:r>
      <w:r w:rsidR="00BA4ED7" w:rsidRPr="007C5F0B">
        <w:rPr>
          <w:rFonts w:cstheme="minorHAnsi"/>
          <w:b/>
          <w:i/>
        </w:rPr>
        <w:t xml:space="preserve"> October </w:t>
      </w:r>
      <w:r w:rsidRPr="007C5F0B">
        <w:rPr>
          <w:rFonts w:cstheme="minorHAnsi"/>
          <w:b/>
          <w:i/>
        </w:rPr>
        <w:t>2015</w:t>
      </w:r>
    </w:p>
    <w:p w:rsidR="001E4A7D" w:rsidRPr="007C5F0B" w:rsidRDefault="001E4A7D" w:rsidP="001E4A7D">
      <w:pPr>
        <w:rPr>
          <w:rFonts w:cstheme="minorHAnsi"/>
        </w:rPr>
      </w:pPr>
    </w:p>
    <w:sectPr w:rsidR="001E4A7D" w:rsidRPr="007C5F0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6BD" w:rsidRDefault="006826BD" w:rsidP="006826BD">
      <w:pPr>
        <w:spacing w:after="0" w:line="240" w:lineRule="auto"/>
      </w:pPr>
      <w:r>
        <w:separator/>
      </w:r>
    </w:p>
  </w:endnote>
  <w:endnote w:type="continuationSeparator" w:id="0">
    <w:p w:rsidR="006826BD" w:rsidRDefault="006826BD" w:rsidP="00682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6BD" w:rsidRDefault="006826BD" w:rsidP="006826BD">
      <w:pPr>
        <w:spacing w:after="0" w:line="240" w:lineRule="auto"/>
      </w:pPr>
      <w:r>
        <w:separator/>
      </w:r>
    </w:p>
  </w:footnote>
  <w:footnote w:type="continuationSeparator" w:id="0">
    <w:p w:rsidR="006826BD" w:rsidRDefault="006826BD" w:rsidP="00682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6BD" w:rsidRDefault="006826BD" w:rsidP="00536CA5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48E0"/>
    <w:multiLevelType w:val="hybridMultilevel"/>
    <w:tmpl w:val="572205BE"/>
    <w:lvl w:ilvl="0" w:tplc="08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3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4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5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6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4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5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9"/>
    <w:lvlOverride w:ilvl="0">
      <w:startOverride w:val="1"/>
    </w:lvlOverride>
  </w:num>
  <w:num w:numId="2">
    <w:abstractNumId w:val="0"/>
  </w:num>
  <w:num w:numId="3">
    <w:abstractNumId w:val="12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3"/>
  </w:num>
  <w:num w:numId="9">
    <w:abstractNumId w:val="15"/>
  </w:num>
  <w:num w:numId="10">
    <w:abstractNumId w:val="14"/>
  </w:num>
  <w:num w:numId="11">
    <w:abstractNumId w:val="16"/>
  </w:num>
  <w:num w:numId="12">
    <w:abstractNumId w:val="4"/>
  </w:num>
  <w:num w:numId="13">
    <w:abstractNumId w:val="7"/>
  </w:num>
  <w:num w:numId="14">
    <w:abstractNumId w:val="10"/>
  </w:num>
  <w:num w:numId="15">
    <w:abstractNumId w:val="8"/>
  </w:num>
  <w:num w:numId="16">
    <w:abstractNumId w:val="1"/>
  </w:num>
  <w:num w:numId="1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826BD"/>
    <w:rsid w:val="0002306F"/>
    <w:rsid w:val="00024E84"/>
    <w:rsid w:val="00032B08"/>
    <w:rsid w:val="00081623"/>
    <w:rsid w:val="000E71E1"/>
    <w:rsid w:val="001570EC"/>
    <w:rsid w:val="001711EA"/>
    <w:rsid w:val="001927A1"/>
    <w:rsid w:val="001E4A7D"/>
    <w:rsid w:val="00211167"/>
    <w:rsid w:val="0022673C"/>
    <w:rsid w:val="00234970"/>
    <w:rsid w:val="00280726"/>
    <w:rsid w:val="00283454"/>
    <w:rsid w:val="0029671B"/>
    <w:rsid w:val="002B099C"/>
    <w:rsid w:val="002D3010"/>
    <w:rsid w:val="003244F8"/>
    <w:rsid w:val="003513C1"/>
    <w:rsid w:val="00371A1D"/>
    <w:rsid w:val="0038120E"/>
    <w:rsid w:val="00396517"/>
    <w:rsid w:val="00431A8C"/>
    <w:rsid w:val="00450BF3"/>
    <w:rsid w:val="0045787D"/>
    <w:rsid w:val="0047460D"/>
    <w:rsid w:val="004962BC"/>
    <w:rsid w:val="004F154A"/>
    <w:rsid w:val="00536CA5"/>
    <w:rsid w:val="00542CF2"/>
    <w:rsid w:val="00557E5E"/>
    <w:rsid w:val="0057697C"/>
    <w:rsid w:val="00585ECE"/>
    <w:rsid w:val="005E5EC6"/>
    <w:rsid w:val="00633E98"/>
    <w:rsid w:val="006826BD"/>
    <w:rsid w:val="006A32AC"/>
    <w:rsid w:val="006A42A0"/>
    <w:rsid w:val="006E624A"/>
    <w:rsid w:val="006F6A96"/>
    <w:rsid w:val="007004E1"/>
    <w:rsid w:val="00723AEC"/>
    <w:rsid w:val="007359AF"/>
    <w:rsid w:val="00792EDC"/>
    <w:rsid w:val="007C5F0B"/>
    <w:rsid w:val="007D13D1"/>
    <w:rsid w:val="007F7E93"/>
    <w:rsid w:val="00852683"/>
    <w:rsid w:val="00911702"/>
    <w:rsid w:val="009E372D"/>
    <w:rsid w:val="00AA51B1"/>
    <w:rsid w:val="00AC165D"/>
    <w:rsid w:val="00B07A02"/>
    <w:rsid w:val="00B46372"/>
    <w:rsid w:val="00B73F4A"/>
    <w:rsid w:val="00B9668E"/>
    <w:rsid w:val="00BA4ED7"/>
    <w:rsid w:val="00BE483D"/>
    <w:rsid w:val="00C36454"/>
    <w:rsid w:val="00C63117"/>
    <w:rsid w:val="00D02118"/>
    <w:rsid w:val="00D10BFA"/>
    <w:rsid w:val="00D24C93"/>
    <w:rsid w:val="00D400FA"/>
    <w:rsid w:val="00D52BDA"/>
    <w:rsid w:val="00DE0851"/>
    <w:rsid w:val="00DE5CA3"/>
    <w:rsid w:val="00E052D7"/>
    <w:rsid w:val="00E140AE"/>
    <w:rsid w:val="00E638C3"/>
    <w:rsid w:val="00EB1C18"/>
    <w:rsid w:val="00F6462C"/>
    <w:rsid w:val="00F91013"/>
    <w:rsid w:val="00F92278"/>
    <w:rsid w:val="00F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00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6BD"/>
  </w:style>
  <w:style w:type="paragraph" w:styleId="Footer">
    <w:name w:val="footer"/>
    <w:basedOn w:val="Normal"/>
    <w:link w:val="Foot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6BD"/>
  </w:style>
  <w:style w:type="table" w:styleId="TableGrid">
    <w:name w:val="Table Grid"/>
    <w:basedOn w:val="TableNormal"/>
    <w:uiPriority w:val="59"/>
    <w:rsid w:val="0068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702"/>
    <w:rPr>
      <w:rFonts w:ascii="Tahoma" w:hAnsi="Tahoma" w:cs="Tahoma"/>
      <w:sz w:val="16"/>
      <w:szCs w:val="16"/>
    </w:rPr>
  </w:style>
  <w:style w:type="paragraph" w:customStyle="1" w:styleId="Contact">
    <w:name w:val="Contact"/>
    <w:basedOn w:val="Normal"/>
    <w:next w:val="Normal"/>
    <w:rsid w:val="003513C1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rsid w:val="003513C1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"/>
    <w:rsid w:val="003513C1"/>
    <w:pPr>
      <w:numPr>
        <w:numId w:val="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Text2"/>
    <w:rsid w:val="003513C1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Normal"/>
    <w:rsid w:val="003513C1"/>
    <w:pPr>
      <w:numPr>
        <w:numId w:val="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3513C1"/>
    <w:pPr>
      <w:numPr>
        <w:numId w:val="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"/>
    <w:rsid w:val="003513C1"/>
    <w:pPr>
      <w:numPr>
        <w:numId w:val="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"/>
    <w:rsid w:val="003513C1"/>
    <w:pPr>
      <w:numPr>
        <w:numId w:val="9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Text2"/>
    <w:rsid w:val="003513C1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Normal"/>
    <w:rsid w:val="003513C1"/>
    <w:pPr>
      <w:numPr>
        <w:numId w:val="1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"/>
    <w:rsid w:val="003513C1"/>
    <w:pPr>
      <w:numPr>
        <w:numId w:val="1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rsid w:val="003513C1"/>
    <w:pPr>
      <w:numPr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"/>
    <w:rsid w:val="003513C1"/>
    <w:pPr>
      <w:numPr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Text2"/>
    <w:rsid w:val="003513C1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Normal"/>
    <w:rsid w:val="003513C1"/>
    <w:pPr>
      <w:numPr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rsid w:val="003513C1"/>
    <w:pPr>
      <w:numPr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"/>
    <w:rsid w:val="003513C1"/>
    <w:pPr>
      <w:numPr>
        <w:ilvl w:val="1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"/>
    <w:rsid w:val="003513C1"/>
    <w:pPr>
      <w:numPr>
        <w:ilvl w:val="1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Text2"/>
    <w:rsid w:val="003513C1"/>
    <w:pPr>
      <w:numPr>
        <w:ilvl w:val="1"/>
        <w:numId w:val="15"/>
      </w:numPr>
      <w:tabs>
        <w:tab w:val="clear" w:pos="2160"/>
      </w:tabs>
    </w:pPr>
  </w:style>
  <w:style w:type="paragraph" w:customStyle="1" w:styleId="ListNumber3Level2">
    <w:name w:val="List Number 3 (Level 2)"/>
    <w:basedOn w:val="Normal"/>
    <w:rsid w:val="003513C1"/>
    <w:pPr>
      <w:numPr>
        <w:ilvl w:val="1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"/>
    <w:rsid w:val="003513C1"/>
    <w:pPr>
      <w:numPr>
        <w:ilvl w:val="1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"/>
    <w:rsid w:val="003513C1"/>
    <w:pPr>
      <w:numPr>
        <w:ilvl w:val="2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"/>
    <w:rsid w:val="003513C1"/>
    <w:pPr>
      <w:numPr>
        <w:ilvl w:val="2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Text2"/>
    <w:rsid w:val="003513C1"/>
    <w:pPr>
      <w:numPr>
        <w:ilvl w:val="2"/>
        <w:numId w:val="15"/>
      </w:numPr>
      <w:tabs>
        <w:tab w:val="clear" w:pos="2160"/>
      </w:tabs>
    </w:pPr>
  </w:style>
  <w:style w:type="paragraph" w:customStyle="1" w:styleId="ListNumber3Level3">
    <w:name w:val="List Number 3 (Level 3)"/>
    <w:basedOn w:val="Normal"/>
    <w:rsid w:val="003513C1"/>
    <w:pPr>
      <w:numPr>
        <w:ilvl w:val="2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"/>
    <w:rsid w:val="003513C1"/>
    <w:pPr>
      <w:numPr>
        <w:ilvl w:val="2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"/>
    <w:rsid w:val="003513C1"/>
    <w:pPr>
      <w:numPr>
        <w:ilvl w:val="3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"/>
    <w:rsid w:val="003513C1"/>
    <w:pPr>
      <w:numPr>
        <w:ilvl w:val="3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Text2"/>
    <w:rsid w:val="003513C1"/>
    <w:pPr>
      <w:numPr>
        <w:ilvl w:val="3"/>
        <w:numId w:val="15"/>
      </w:numPr>
      <w:tabs>
        <w:tab w:val="clear" w:pos="2160"/>
      </w:tabs>
    </w:pPr>
  </w:style>
  <w:style w:type="paragraph" w:customStyle="1" w:styleId="ListNumber3Level4">
    <w:name w:val="List Number 3 (Level 4)"/>
    <w:basedOn w:val="Normal"/>
    <w:rsid w:val="003513C1"/>
    <w:pPr>
      <w:numPr>
        <w:ilvl w:val="3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"/>
    <w:rsid w:val="003513C1"/>
    <w:pPr>
      <w:numPr>
        <w:ilvl w:val="3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semiHidden/>
    <w:rsid w:val="003513C1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400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Normal"/>
    <w:next w:val="Normal"/>
    <w:qFormat/>
    <w:rsid w:val="003513C1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B73F4A"/>
    <w:pPr>
      <w:ind w:left="720"/>
      <w:contextualSpacing/>
    </w:pPr>
  </w:style>
  <w:style w:type="paragraph" w:customStyle="1" w:styleId="Bullet0">
    <w:name w:val="Bullet 0"/>
    <w:basedOn w:val="Normal"/>
    <w:rsid w:val="00542CF2"/>
    <w:pPr>
      <w:numPr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Text2">
    <w:name w:val="Text 2"/>
    <w:basedOn w:val="Normal"/>
    <w:rsid w:val="00542CF2"/>
    <w:pPr>
      <w:tabs>
        <w:tab w:val="left" w:pos="2160"/>
      </w:tabs>
      <w:spacing w:after="240" w:line="240" w:lineRule="auto"/>
      <w:ind w:left="107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09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09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09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00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6BD"/>
  </w:style>
  <w:style w:type="paragraph" w:styleId="Footer">
    <w:name w:val="footer"/>
    <w:basedOn w:val="Normal"/>
    <w:link w:val="Foot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6BD"/>
  </w:style>
  <w:style w:type="table" w:styleId="TableGrid">
    <w:name w:val="Table Grid"/>
    <w:basedOn w:val="TableNormal"/>
    <w:uiPriority w:val="59"/>
    <w:rsid w:val="0068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702"/>
    <w:rPr>
      <w:rFonts w:ascii="Tahoma" w:hAnsi="Tahoma" w:cs="Tahoma"/>
      <w:sz w:val="16"/>
      <w:szCs w:val="16"/>
    </w:rPr>
  </w:style>
  <w:style w:type="paragraph" w:customStyle="1" w:styleId="Contact">
    <w:name w:val="Contact"/>
    <w:basedOn w:val="Normal"/>
    <w:next w:val="Normal"/>
    <w:rsid w:val="003513C1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rsid w:val="003513C1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"/>
    <w:rsid w:val="003513C1"/>
    <w:pPr>
      <w:numPr>
        <w:numId w:val="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Text2"/>
    <w:rsid w:val="003513C1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Normal"/>
    <w:rsid w:val="003513C1"/>
    <w:pPr>
      <w:numPr>
        <w:numId w:val="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3513C1"/>
    <w:pPr>
      <w:numPr>
        <w:numId w:val="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"/>
    <w:rsid w:val="003513C1"/>
    <w:pPr>
      <w:numPr>
        <w:numId w:val="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"/>
    <w:rsid w:val="003513C1"/>
    <w:pPr>
      <w:numPr>
        <w:numId w:val="9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Text2"/>
    <w:rsid w:val="003513C1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Normal"/>
    <w:rsid w:val="003513C1"/>
    <w:pPr>
      <w:numPr>
        <w:numId w:val="1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"/>
    <w:rsid w:val="003513C1"/>
    <w:pPr>
      <w:numPr>
        <w:numId w:val="1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rsid w:val="003513C1"/>
    <w:pPr>
      <w:numPr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"/>
    <w:rsid w:val="003513C1"/>
    <w:pPr>
      <w:numPr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Text2"/>
    <w:rsid w:val="003513C1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Normal"/>
    <w:rsid w:val="003513C1"/>
    <w:pPr>
      <w:numPr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rsid w:val="003513C1"/>
    <w:pPr>
      <w:numPr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"/>
    <w:rsid w:val="003513C1"/>
    <w:pPr>
      <w:numPr>
        <w:ilvl w:val="1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"/>
    <w:rsid w:val="003513C1"/>
    <w:pPr>
      <w:numPr>
        <w:ilvl w:val="1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Text2"/>
    <w:rsid w:val="003513C1"/>
    <w:pPr>
      <w:numPr>
        <w:ilvl w:val="1"/>
        <w:numId w:val="15"/>
      </w:numPr>
      <w:tabs>
        <w:tab w:val="clear" w:pos="2160"/>
      </w:tabs>
    </w:pPr>
  </w:style>
  <w:style w:type="paragraph" w:customStyle="1" w:styleId="ListNumber3Level2">
    <w:name w:val="List Number 3 (Level 2)"/>
    <w:basedOn w:val="Normal"/>
    <w:rsid w:val="003513C1"/>
    <w:pPr>
      <w:numPr>
        <w:ilvl w:val="1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"/>
    <w:rsid w:val="003513C1"/>
    <w:pPr>
      <w:numPr>
        <w:ilvl w:val="1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"/>
    <w:rsid w:val="003513C1"/>
    <w:pPr>
      <w:numPr>
        <w:ilvl w:val="2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"/>
    <w:rsid w:val="003513C1"/>
    <w:pPr>
      <w:numPr>
        <w:ilvl w:val="2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Text2"/>
    <w:rsid w:val="003513C1"/>
    <w:pPr>
      <w:numPr>
        <w:ilvl w:val="2"/>
        <w:numId w:val="15"/>
      </w:numPr>
      <w:tabs>
        <w:tab w:val="clear" w:pos="2160"/>
      </w:tabs>
    </w:pPr>
  </w:style>
  <w:style w:type="paragraph" w:customStyle="1" w:styleId="ListNumber3Level3">
    <w:name w:val="List Number 3 (Level 3)"/>
    <w:basedOn w:val="Normal"/>
    <w:rsid w:val="003513C1"/>
    <w:pPr>
      <w:numPr>
        <w:ilvl w:val="2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"/>
    <w:rsid w:val="003513C1"/>
    <w:pPr>
      <w:numPr>
        <w:ilvl w:val="2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"/>
    <w:rsid w:val="003513C1"/>
    <w:pPr>
      <w:numPr>
        <w:ilvl w:val="3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"/>
    <w:rsid w:val="003513C1"/>
    <w:pPr>
      <w:numPr>
        <w:ilvl w:val="3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Text2"/>
    <w:rsid w:val="003513C1"/>
    <w:pPr>
      <w:numPr>
        <w:ilvl w:val="3"/>
        <w:numId w:val="15"/>
      </w:numPr>
      <w:tabs>
        <w:tab w:val="clear" w:pos="2160"/>
      </w:tabs>
    </w:pPr>
  </w:style>
  <w:style w:type="paragraph" w:customStyle="1" w:styleId="ListNumber3Level4">
    <w:name w:val="List Number 3 (Level 4)"/>
    <w:basedOn w:val="Normal"/>
    <w:rsid w:val="003513C1"/>
    <w:pPr>
      <w:numPr>
        <w:ilvl w:val="3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"/>
    <w:rsid w:val="003513C1"/>
    <w:pPr>
      <w:numPr>
        <w:ilvl w:val="3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semiHidden/>
    <w:rsid w:val="003513C1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400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Normal"/>
    <w:next w:val="Normal"/>
    <w:qFormat/>
    <w:rsid w:val="003513C1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B73F4A"/>
    <w:pPr>
      <w:ind w:left="720"/>
      <w:contextualSpacing/>
    </w:pPr>
  </w:style>
  <w:style w:type="paragraph" w:customStyle="1" w:styleId="Bullet0">
    <w:name w:val="Bullet 0"/>
    <w:basedOn w:val="Normal"/>
    <w:rsid w:val="00542CF2"/>
    <w:pPr>
      <w:numPr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Text2">
    <w:name w:val="Text 2"/>
    <w:basedOn w:val="Normal"/>
    <w:rsid w:val="00542CF2"/>
    <w:pPr>
      <w:tabs>
        <w:tab w:val="left" w:pos="2160"/>
      </w:tabs>
      <w:spacing w:after="240" w:line="240" w:lineRule="auto"/>
      <w:ind w:left="107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09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09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09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DDD72-8360-454A-83FE-92C5DFDF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MANNING Robin (AGRI)</dc:creator>
  <cp:lastModifiedBy>MARION Gaelle (AGRI)</cp:lastModifiedBy>
  <cp:revision>3</cp:revision>
  <dcterms:created xsi:type="dcterms:W3CDTF">2015-10-21T08:35:00Z</dcterms:created>
  <dcterms:modified xsi:type="dcterms:W3CDTF">2015-10-21T08:38:00Z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LDocType">
    <vt:lpwstr>NOT.DOT</vt:lpwstr>
  </property>
  <property fmtid="{D5CDD505-2E9C-101B-9397-08002B2CF9AE}" pid="3" name="Created using">
    <vt:lpwstr>3.0</vt:lpwstr>
  </property>
  <property fmtid="{D5CDD505-2E9C-101B-9397-08002B2CF9AE}" pid="4" name="Last edited using">
    <vt:lpwstr>EL 4.6 Build 40001</vt:lpwstr>
  </property>
</Properties>
</file>