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50" w:rsidRDefault="002F2B50" w:rsidP="002F2B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 proposal</w:t>
      </w:r>
    </w:p>
    <w:p w:rsidR="002F2B50" w:rsidRDefault="002F2B50" w:rsidP="002F2B50">
      <w:pPr>
        <w:jc w:val="center"/>
        <w:rPr>
          <w:b/>
          <w:sz w:val="24"/>
          <w:szCs w:val="24"/>
        </w:rPr>
      </w:pPr>
      <w:r w:rsidRPr="002F2B50">
        <w:rPr>
          <w:b/>
          <w:sz w:val="24"/>
          <w:szCs w:val="24"/>
        </w:rPr>
        <w:t>Simplification as regards Voluntary Coupled Support (VCS)</w:t>
      </w:r>
    </w:p>
    <w:p w:rsidR="002F2B50" w:rsidRPr="002F2B50" w:rsidRDefault="002F2B50" w:rsidP="002F2B50">
      <w:pPr>
        <w:jc w:val="center"/>
        <w:rPr>
          <w:b/>
          <w:sz w:val="24"/>
          <w:szCs w:val="24"/>
        </w:rPr>
      </w:pPr>
    </w:p>
    <w:tbl>
      <w:tblPr>
        <w:tblStyle w:val="TableGrid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3"/>
        <w:gridCol w:w="7547"/>
      </w:tblGrid>
      <w:tr w:rsidR="006826BD" w:rsidTr="002E7E1A">
        <w:tc>
          <w:tcPr>
            <w:tcW w:w="2093" w:type="dxa"/>
            <w:shd w:val="clear" w:color="auto" w:fill="FFFF00"/>
          </w:tcPr>
          <w:p w:rsidR="006826BD" w:rsidRPr="0029671B" w:rsidRDefault="006826BD" w:rsidP="002F2B50">
            <w:pPr>
              <w:spacing w:before="120" w:after="120"/>
              <w:rPr>
                <w:highlight w:val="yellow"/>
              </w:rPr>
            </w:pPr>
            <w:r w:rsidRPr="0029671B">
              <w:rPr>
                <w:highlight w:val="yellow"/>
              </w:rPr>
              <w:t>Title</w:t>
            </w:r>
          </w:p>
        </w:tc>
        <w:tc>
          <w:tcPr>
            <w:tcW w:w="7547" w:type="dxa"/>
            <w:shd w:val="clear" w:color="auto" w:fill="FFFF00"/>
          </w:tcPr>
          <w:p w:rsidR="006826BD" w:rsidRPr="0029671B" w:rsidRDefault="00F92278" w:rsidP="002F2B50">
            <w:pPr>
              <w:spacing w:before="120" w:after="120"/>
              <w:rPr>
                <w:b/>
              </w:rPr>
            </w:pPr>
            <w:r>
              <w:rPr>
                <w:b/>
              </w:rPr>
              <w:t>Direc</w:t>
            </w:r>
            <w:r w:rsidR="002F2B50">
              <w:rPr>
                <w:b/>
              </w:rPr>
              <w:t>t</w:t>
            </w:r>
            <w:r>
              <w:rPr>
                <w:b/>
              </w:rPr>
              <w:t xml:space="preserve"> payments – Voluntary coupled support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Scope</w:t>
            </w:r>
          </w:p>
        </w:tc>
        <w:tc>
          <w:tcPr>
            <w:tcW w:w="7547" w:type="dxa"/>
          </w:tcPr>
          <w:p w:rsidR="006826BD" w:rsidRDefault="00723AEC" w:rsidP="002F2B50">
            <w:pPr>
              <w:spacing w:before="120" w:after="120"/>
            </w:pPr>
            <w:r>
              <w:t>Voluntary Coupled Support</w:t>
            </w:r>
            <w:r w:rsidR="006826BD">
              <w:t xml:space="preserve"> </w:t>
            </w:r>
            <w:r w:rsidR="009E372D">
              <w:t>(VCS)</w:t>
            </w:r>
          </w:p>
        </w:tc>
      </w:tr>
      <w:tr w:rsidR="006826BD" w:rsidTr="002E7E1A">
        <w:tc>
          <w:tcPr>
            <w:tcW w:w="2093" w:type="dxa"/>
          </w:tcPr>
          <w:p w:rsidR="006826BD" w:rsidRDefault="006826BD" w:rsidP="002F2B50">
            <w:pPr>
              <w:spacing w:before="120" w:after="120"/>
            </w:pPr>
            <w:r>
              <w:t>Legal basis</w:t>
            </w:r>
          </w:p>
        </w:tc>
        <w:tc>
          <w:tcPr>
            <w:tcW w:w="7547" w:type="dxa"/>
          </w:tcPr>
          <w:p w:rsidR="006826BD" w:rsidRPr="002D3010" w:rsidRDefault="00723AEC" w:rsidP="002F2B50">
            <w:pPr>
              <w:spacing w:before="120" w:after="120"/>
            </w:pPr>
            <w:r w:rsidRPr="002D3010">
              <w:t xml:space="preserve">Chapter 1 of Title IV of </w:t>
            </w:r>
            <w:r w:rsidR="006826BD" w:rsidRPr="002D3010">
              <w:t>Regulation 13</w:t>
            </w:r>
            <w:r w:rsidRPr="002D3010">
              <w:t>0</w:t>
            </w:r>
            <w:r w:rsidR="006826BD" w:rsidRPr="002D3010">
              <w:t>7/2013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826BD" w:rsidP="002F2B50">
            <w:pPr>
              <w:spacing w:before="120" w:after="120"/>
            </w:pPr>
            <w:r w:rsidRPr="00723AEC">
              <w:t>Current Commission Regulations</w:t>
            </w:r>
          </w:p>
        </w:tc>
        <w:tc>
          <w:tcPr>
            <w:tcW w:w="7547" w:type="dxa"/>
          </w:tcPr>
          <w:p w:rsidR="00723AEC" w:rsidRPr="002F2B50" w:rsidRDefault="00723AEC" w:rsidP="002F2B50">
            <w:pPr>
              <w:spacing w:before="120" w:after="120"/>
              <w:rPr>
                <w:b/>
              </w:rPr>
            </w:pPr>
            <w:r w:rsidRPr="002F2B50">
              <w:rPr>
                <w:b/>
              </w:rPr>
              <w:t>Commission Delegated Regulation (EU) No 639/2014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2F2B50" w:rsidP="002F2B50">
            <w:pPr>
              <w:spacing w:before="120" w:after="120"/>
            </w:pPr>
            <w:r>
              <w:t>Foreseen date of adoption</w:t>
            </w:r>
          </w:p>
        </w:tc>
        <w:tc>
          <w:tcPr>
            <w:tcW w:w="7547" w:type="dxa"/>
          </w:tcPr>
          <w:p w:rsidR="00F6462C" w:rsidRPr="00723AEC" w:rsidRDefault="002F2B50" w:rsidP="002F2B50">
            <w:pPr>
              <w:spacing w:before="120" w:after="120"/>
              <w:rPr>
                <w:color w:val="FF0000"/>
              </w:rPr>
            </w:pPr>
            <w:r>
              <w:t>Beginning of 2016</w:t>
            </w:r>
          </w:p>
        </w:tc>
      </w:tr>
      <w:tr w:rsidR="002F2B50" w:rsidRPr="00723AEC" w:rsidTr="002E7E1A">
        <w:tc>
          <w:tcPr>
            <w:tcW w:w="2093" w:type="dxa"/>
          </w:tcPr>
          <w:p w:rsidR="002F2B50" w:rsidRPr="00723AEC" w:rsidRDefault="002F2B50" w:rsidP="000545ED">
            <w:pPr>
              <w:spacing w:before="120" w:after="120"/>
            </w:pPr>
            <w:r>
              <w:t>Foreseen first year of implementation</w:t>
            </w:r>
            <w:bookmarkStart w:id="0" w:name="_GoBack"/>
            <w:bookmarkEnd w:id="0"/>
          </w:p>
        </w:tc>
        <w:tc>
          <w:tcPr>
            <w:tcW w:w="7547" w:type="dxa"/>
          </w:tcPr>
          <w:p w:rsidR="002F2B50" w:rsidRPr="005B32A2" w:rsidRDefault="002F2B50" w:rsidP="002F2B50">
            <w:pPr>
              <w:spacing w:before="120" w:after="120"/>
            </w:pPr>
            <w:r>
              <w:t>2016</w:t>
            </w:r>
          </w:p>
        </w:tc>
      </w:tr>
      <w:tr w:rsidR="00723AEC" w:rsidRPr="00723AEC" w:rsidTr="002E7E1A">
        <w:tc>
          <w:tcPr>
            <w:tcW w:w="2093" w:type="dxa"/>
          </w:tcPr>
          <w:p w:rsidR="006826BD" w:rsidRPr="00723AEC" w:rsidRDefault="006E624A" w:rsidP="002F2B50">
            <w:pPr>
              <w:spacing w:before="120" w:after="120"/>
            </w:pPr>
            <w:r w:rsidRPr="00723AEC">
              <w:t>Purpose of proposal</w:t>
            </w:r>
          </w:p>
        </w:tc>
        <w:tc>
          <w:tcPr>
            <w:tcW w:w="7547" w:type="dxa"/>
          </w:tcPr>
          <w:p w:rsidR="00542CF2" w:rsidRDefault="00542CF2" w:rsidP="002F2B50">
            <w:pPr>
              <w:pStyle w:val="Text2"/>
              <w:spacing w:before="120" w:after="120"/>
              <w:ind w:left="0"/>
              <w:rPr>
                <w:sz w:val="23"/>
                <w:szCs w:val="23"/>
              </w:rPr>
            </w:pPr>
            <w:r w:rsidRPr="005B32A2">
              <w:t>The following issues are covered by the Commission's proposal</w:t>
            </w:r>
            <w:r w:rsidRPr="005B32A2">
              <w:rPr>
                <w:sz w:val="23"/>
                <w:szCs w:val="23"/>
              </w:rPr>
              <w:t xml:space="preserve">: </w:t>
            </w:r>
          </w:p>
          <w:p w:rsidR="00542CF2" w:rsidRPr="00F92278" w:rsidRDefault="00F91013" w:rsidP="002F2B50">
            <w:pPr>
              <w:pStyle w:val="Bullet0"/>
              <w:numPr>
                <w:ilvl w:val="0"/>
                <w:numId w:val="2"/>
              </w:numPr>
              <w:ind w:left="360"/>
              <w:rPr>
                <w:i/>
                <w:szCs w:val="24"/>
              </w:rPr>
            </w:pPr>
            <w:r w:rsidRPr="002E7E1A">
              <w:rPr>
                <w:i/>
              </w:rPr>
              <w:t>Optional i</w:t>
            </w:r>
            <w:r w:rsidR="00542CF2" w:rsidRPr="002E7E1A">
              <w:rPr>
                <w:i/>
              </w:rPr>
              <w:t xml:space="preserve">ntroduction of </w:t>
            </w:r>
            <w:r w:rsidR="00542CF2" w:rsidRPr="002E7E1A">
              <w:rPr>
                <w:b/>
                <w:i/>
              </w:rPr>
              <w:t>modulated unit rates of aid</w:t>
            </w:r>
            <w:r w:rsidR="00542CF2" w:rsidRPr="002E7E1A">
              <w:rPr>
                <w:i/>
              </w:rPr>
              <w:t xml:space="preserve"> within single </w:t>
            </w:r>
            <w:r w:rsidR="009E372D" w:rsidRPr="002E7E1A">
              <w:rPr>
                <w:i/>
              </w:rPr>
              <w:t>Voluntary Coupled Support</w:t>
            </w:r>
            <w:r w:rsidR="00542CF2" w:rsidRPr="002E7E1A">
              <w:rPr>
                <w:i/>
              </w:rPr>
              <w:t xml:space="preserve"> measures </w:t>
            </w:r>
            <w:r w:rsidR="00542CF2" w:rsidRPr="002E7E1A">
              <w:rPr>
                <w:i/>
                <w:szCs w:val="24"/>
              </w:rPr>
              <w:t>to recognize different degrees of economy of scale</w:t>
            </w:r>
            <w:r w:rsidR="00F92278" w:rsidRPr="00F92278">
              <w:t>.</w:t>
            </w:r>
            <w:r w:rsidR="00542CF2" w:rsidRPr="00F92278">
              <w:t xml:space="preserve"> </w:t>
            </w:r>
            <w:r w:rsidR="00D10BFA" w:rsidRPr="00F92278">
              <w:t>I</w:t>
            </w:r>
            <w:r w:rsidR="00542CF2" w:rsidRPr="00F92278">
              <w:t xml:space="preserve">n the present legislative framework, a single unit rate of aid shall apply to each </w:t>
            </w:r>
            <w:r w:rsidR="009E372D" w:rsidRPr="00F92278">
              <w:t>Voluntary Coupled Support</w:t>
            </w:r>
            <w:r w:rsidR="00542CF2" w:rsidRPr="00F92278">
              <w:t xml:space="preserve"> measure</w:t>
            </w:r>
            <w:r w:rsidR="00D10BFA" w:rsidRPr="00F92278">
              <w:t xml:space="preserve"> regardless of the </w:t>
            </w:r>
            <w:r w:rsidR="001570EC" w:rsidRPr="00F92278">
              <w:t xml:space="preserve">size of the </w:t>
            </w:r>
            <w:r w:rsidR="00D10BFA" w:rsidRPr="00F92278">
              <w:t>beneficiary</w:t>
            </w:r>
            <w:r w:rsidR="00542CF2" w:rsidRPr="00F92278">
              <w:t xml:space="preserve">. </w:t>
            </w:r>
            <w:r w:rsidR="00F92278" w:rsidRPr="00F92278">
              <w:t>With the proposed amendment, a</w:t>
            </w:r>
            <w:r w:rsidRPr="00F92278">
              <w:t xml:space="preserve">s from 2016, </w:t>
            </w:r>
            <w:r w:rsidR="000E71E1" w:rsidRPr="00F92278">
              <w:t xml:space="preserve">Member States </w:t>
            </w:r>
            <w:r w:rsidR="001570EC" w:rsidRPr="00F92278">
              <w:t>may</w:t>
            </w:r>
            <w:r w:rsidR="000E71E1" w:rsidRPr="00F92278">
              <w:t xml:space="preserve"> </w:t>
            </w:r>
            <w:r w:rsidR="006A42A0" w:rsidRPr="00F92278">
              <w:t xml:space="preserve">decide </w:t>
            </w:r>
            <w:r w:rsidR="001570EC" w:rsidRPr="00F92278">
              <w:t>to</w:t>
            </w:r>
            <w:r w:rsidR="000E71E1" w:rsidRPr="00F92278">
              <w:t xml:space="preserve"> introduce modulated rates in </w:t>
            </w:r>
            <w:r w:rsidR="001570EC" w:rsidRPr="00F92278">
              <w:t>certain</w:t>
            </w:r>
            <w:r w:rsidRPr="00F92278">
              <w:t xml:space="preserve"> </w:t>
            </w:r>
            <w:r w:rsidR="000E71E1" w:rsidRPr="00F92278">
              <w:t xml:space="preserve">Voluntary Coupled Support measures. </w:t>
            </w:r>
            <w:r w:rsidR="000E71E1" w:rsidRPr="00F92278">
              <w:rPr>
                <w:szCs w:val="24"/>
              </w:rPr>
              <w:t xml:space="preserve">The </w:t>
            </w:r>
            <w:r w:rsidRPr="00F92278">
              <w:rPr>
                <w:szCs w:val="24"/>
              </w:rPr>
              <w:t xml:space="preserve">amendment </w:t>
            </w:r>
            <w:r w:rsidR="00542CF2" w:rsidRPr="00F92278">
              <w:rPr>
                <w:szCs w:val="24"/>
              </w:rPr>
              <w:t>aims at improved targeting and thus more efficient use of the available resources</w:t>
            </w:r>
            <w:r w:rsidR="007D13D1" w:rsidRPr="00F92278">
              <w:rPr>
                <w:szCs w:val="24"/>
              </w:rPr>
              <w:t>;</w:t>
            </w:r>
            <w:r w:rsidR="00542CF2" w:rsidRPr="00F92278">
              <w:rPr>
                <w:szCs w:val="24"/>
              </w:rPr>
              <w:t xml:space="preserve">  </w:t>
            </w:r>
          </w:p>
          <w:p w:rsidR="00542CF2" w:rsidRDefault="00F91013" w:rsidP="002F2B50">
            <w:pPr>
              <w:pStyle w:val="Bullet0"/>
              <w:numPr>
                <w:ilvl w:val="0"/>
                <w:numId w:val="2"/>
              </w:numPr>
              <w:ind w:left="372"/>
            </w:pPr>
            <w:r w:rsidRPr="002E7E1A">
              <w:rPr>
                <w:i/>
              </w:rPr>
              <w:t>Optional</w:t>
            </w:r>
            <w:r w:rsidR="00542CF2" w:rsidRPr="002E7E1A">
              <w:rPr>
                <w:i/>
              </w:rPr>
              <w:t xml:space="preserve"> </w:t>
            </w:r>
            <w:r w:rsidR="00542CF2" w:rsidRPr="002E7E1A">
              <w:rPr>
                <w:b/>
                <w:i/>
              </w:rPr>
              <w:t xml:space="preserve">transfer of funds between </w:t>
            </w:r>
            <w:r w:rsidR="009E372D" w:rsidRPr="002E7E1A">
              <w:rPr>
                <w:b/>
                <w:i/>
              </w:rPr>
              <w:t>Voluntary Coupled Support</w:t>
            </w:r>
            <w:r w:rsidR="00542CF2" w:rsidRPr="002E7E1A">
              <w:rPr>
                <w:b/>
                <w:i/>
              </w:rPr>
              <w:t xml:space="preserve"> measures</w:t>
            </w:r>
            <w:r w:rsidR="00F92278" w:rsidRPr="00F92278">
              <w:t xml:space="preserve">. </w:t>
            </w:r>
            <w:r w:rsidR="00542CF2" w:rsidRPr="00F92278">
              <w:t>Based upon the present legislative framework, M</w:t>
            </w:r>
            <w:r w:rsidR="007D13D1" w:rsidRPr="00F92278">
              <w:t>ember States</w:t>
            </w:r>
            <w:r w:rsidR="00542CF2" w:rsidRPr="00F92278">
              <w:t xml:space="preserve"> are bound</w:t>
            </w:r>
            <w:r w:rsidR="00542CF2" w:rsidRPr="005B32A2">
              <w:t xml:space="preserve"> to their original financial decisions with</w:t>
            </w:r>
            <w:r w:rsidR="00542CF2" w:rsidRPr="00DF3A5F">
              <w:t xml:space="preserve"> only </w:t>
            </w:r>
            <w:r w:rsidR="00542CF2" w:rsidRPr="001B2EC0">
              <w:t xml:space="preserve">one review possibility (to be notified by 1 Aug 2016) between 2015 and 2020. </w:t>
            </w:r>
            <w:r w:rsidR="00234970">
              <w:t xml:space="preserve">As from 2016, the </w:t>
            </w:r>
            <w:r w:rsidR="00542CF2" w:rsidRPr="001B2EC0">
              <w:t xml:space="preserve">amendment would allow (under certain conditions) some flexibility for </w:t>
            </w:r>
            <w:r w:rsidR="007D13D1" w:rsidRPr="005B32A2">
              <w:t>M</w:t>
            </w:r>
            <w:r w:rsidR="007D13D1">
              <w:t>ember States</w:t>
            </w:r>
            <w:r w:rsidR="00542CF2" w:rsidRPr="001B2EC0">
              <w:t xml:space="preserve"> to fine-tune their annual </w:t>
            </w:r>
            <w:r w:rsidR="009E372D">
              <w:t>Voluntary Coupled Support</w:t>
            </w:r>
            <w:r w:rsidR="00542CF2" w:rsidRPr="001B2EC0" w:rsidDel="00404314">
              <w:t xml:space="preserve"> </w:t>
            </w:r>
            <w:r w:rsidR="00542CF2" w:rsidRPr="001B2EC0">
              <w:t>envelopes at measure level</w:t>
            </w:r>
            <w:r w:rsidR="00234970">
              <w:t>. The aim is</w:t>
            </w:r>
            <w:r w:rsidR="00542CF2" w:rsidRPr="001B2EC0">
              <w:t xml:space="preserve"> more flexible and thus more effective use of the lim</w:t>
            </w:r>
            <w:r w:rsidR="00542CF2">
              <w:t xml:space="preserve">ited resources available </w:t>
            </w:r>
            <w:r w:rsidR="00234970">
              <w:t>for</w:t>
            </w:r>
            <w:r w:rsidR="00542CF2">
              <w:t xml:space="preserve"> </w:t>
            </w:r>
            <w:r w:rsidR="009E372D">
              <w:t>Voluntary Coupled Support</w:t>
            </w:r>
            <w:r w:rsidR="007D13D1">
              <w:t>;</w:t>
            </w:r>
          </w:p>
          <w:p w:rsidR="006826BD" w:rsidRDefault="00542CF2" w:rsidP="002F2B50">
            <w:pPr>
              <w:pStyle w:val="Bullet0"/>
              <w:numPr>
                <w:ilvl w:val="0"/>
                <w:numId w:val="2"/>
              </w:numPr>
              <w:ind w:left="372"/>
            </w:pPr>
            <w:r w:rsidRPr="001B2EC0">
              <w:t xml:space="preserve">Furthermore, </w:t>
            </w:r>
            <w:r w:rsidRPr="002E7E1A">
              <w:rPr>
                <w:i/>
              </w:rPr>
              <w:t xml:space="preserve">(rather limited) </w:t>
            </w:r>
            <w:r w:rsidRPr="002E7E1A">
              <w:rPr>
                <w:b/>
                <w:i/>
              </w:rPr>
              <w:t xml:space="preserve">streamlining of the </w:t>
            </w:r>
            <w:r w:rsidR="009E372D" w:rsidRPr="002E7E1A">
              <w:rPr>
                <w:b/>
                <w:i/>
              </w:rPr>
              <w:t>Member States</w:t>
            </w:r>
            <w:r w:rsidRPr="002E7E1A">
              <w:rPr>
                <w:b/>
                <w:i/>
              </w:rPr>
              <w:t xml:space="preserve"> notifications </w:t>
            </w:r>
            <w:r w:rsidRPr="002E7E1A">
              <w:t>and</w:t>
            </w:r>
            <w:r w:rsidRPr="002E7E1A">
              <w:rPr>
                <w:b/>
                <w:i/>
              </w:rPr>
              <w:t xml:space="preserve"> increased clarity in the drafting</w:t>
            </w:r>
            <w:r w:rsidRPr="002E7E1A">
              <w:rPr>
                <w:i/>
              </w:rPr>
              <w:t xml:space="preserve"> of the 'cumulation of support' provision</w:t>
            </w:r>
            <w:r w:rsidRPr="001B2EC0">
              <w:t xml:space="preserve"> is proposed.</w:t>
            </w:r>
          </w:p>
          <w:p w:rsidR="002F2B50" w:rsidRPr="00542CF2" w:rsidRDefault="002F2B50" w:rsidP="002F2B50">
            <w:pPr>
              <w:pStyle w:val="Bullet0"/>
              <w:numPr>
                <w:ilvl w:val="0"/>
                <w:numId w:val="0"/>
              </w:numPr>
              <w:ind w:left="372"/>
            </w:pPr>
          </w:p>
        </w:tc>
      </w:tr>
    </w:tbl>
    <w:p w:rsidR="001E4A7D" w:rsidRPr="006826BD" w:rsidRDefault="00FE773C" w:rsidP="002E7E1A">
      <w:pPr>
        <w:jc w:val="right"/>
      </w:pPr>
      <w:r w:rsidRPr="00723AEC">
        <w:rPr>
          <w:b/>
          <w:i/>
          <w:sz w:val="20"/>
          <w:szCs w:val="20"/>
        </w:rPr>
        <w:t xml:space="preserve">Version: </w:t>
      </w:r>
      <w:r w:rsidR="002E7E1A">
        <w:rPr>
          <w:b/>
          <w:i/>
          <w:sz w:val="20"/>
          <w:szCs w:val="20"/>
        </w:rPr>
        <w:t>21</w:t>
      </w:r>
      <w:r w:rsidR="00BA4ED7" w:rsidRPr="00723AEC">
        <w:rPr>
          <w:b/>
          <w:i/>
          <w:sz w:val="20"/>
          <w:szCs w:val="20"/>
        </w:rPr>
        <w:t xml:space="preserve"> October </w:t>
      </w:r>
      <w:r w:rsidRPr="00723AEC">
        <w:rPr>
          <w:b/>
          <w:i/>
          <w:sz w:val="20"/>
          <w:szCs w:val="20"/>
        </w:rPr>
        <w:t>2015</w:t>
      </w:r>
    </w:p>
    <w:sectPr w:rsidR="001E4A7D" w:rsidRPr="006826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BD" w:rsidRDefault="006826BD" w:rsidP="006826BD">
      <w:pPr>
        <w:spacing w:after="0" w:line="240" w:lineRule="auto"/>
      </w:pPr>
      <w:r>
        <w:separator/>
      </w:r>
    </w:p>
  </w:endnote>
  <w:end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BD" w:rsidRDefault="006826BD" w:rsidP="006826BD">
      <w:pPr>
        <w:spacing w:after="0" w:line="240" w:lineRule="auto"/>
      </w:pPr>
      <w:r>
        <w:separator/>
      </w:r>
    </w:p>
  </w:footnote>
  <w:footnote w:type="continuationSeparator" w:id="0">
    <w:p w:rsidR="006826BD" w:rsidRDefault="006826BD" w:rsidP="00682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6BD" w:rsidRDefault="006826BD" w:rsidP="00536CA5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2AC" w:rsidRDefault="006A32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8E0"/>
    <w:multiLevelType w:val="hybridMultilevel"/>
    <w:tmpl w:val="EFB46AEA"/>
    <w:lvl w:ilvl="0" w:tplc="08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3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4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5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6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3D150C05"/>
    <w:multiLevelType w:val="hybridMultilevel"/>
    <w:tmpl w:val="9C9ED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1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5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6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0"/>
    <w:lvlOverride w:ilvl="0">
      <w:startOverride w:val="1"/>
    </w:lvlOverride>
  </w:num>
  <w:num w:numId="2">
    <w:abstractNumId w:val="0"/>
  </w:num>
  <w:num w:numId="3">
    <w:abstractNumId w:val="7"/>
  </w:num>
  <w:num w:numId="4">
    <w:abstractNumId w:val="13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4"/>
  </w:num>
  <w:num w:numId="10">
    <w:abstractNumId w:val="16"/>
  </w:num>
  <w:num w:numId="11">
    <w:abstractNumId w:val="15"/>
  </w:num>
  <w:num w:numId="12">
    <w:abstractNumId w:val="17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"/>
  </w:num>
  <w:num w:numId="18">
    <w:abstractNumId w:val="12"/>
  </w:num>
  <w:num w:numId="19">
    <w:abstractNumId w:val="13"/>
  </w:num>
  <w:num w:numId="20">
    <w:abstractNumId w:val="6"/>
  </w:num>
  <w:num w:numId="21">
    <w:abstractNumId w:val="5"/>
  </w:num>
  <w:num w:numId="22">
    <w:abstractNumId w:val="3"/>
  </w:num>
  <w:num w:numId="23">
    <w:abstractNumId w:val="2"/>
  </w:num>
  <w:num w:numId="24">
    <w:abstractNumId w:val="14"/>
  </w:num>
  <w:num w:numId="25">
    <w:abstractNumId w:val="16"/>
  </w:num>
  <w:num w:numId="26">
    <w:abstractNumId w:val="15"/>
  </w:num>
  <w:num w:numId="27">
    <w:abstractNumId w:val="17"/>
  </w:num>
  <w:num w:numId="28">
    <w:abstractNumId w:val="4"/>
  </w:num>
  <w:num w:numId="29">
    <w:abstractNumId w:val="8"/>
  </w:num>
  <w:num w:numId="30">
    <w:abstractNumId w:val="11"/>
  </w:num>
  <w:num w:numId="31">
    <w:abstractNumId w:val="9"/>
  </w:num>
  <w:num w:numId="32">
    <w:abstractNumId w:val="1"/>
  </w:num>
  <w:num w:numId="33">
    <w:abstractNumId w:val="12"/>
  </w:num>
  <w:num w:numId="34">
    <w:abstractNumId w:val="8"/>
  </w:num>
  <w:num w:numId="35">
    <w:abstractNumId w:val="11"/>
  </w:num>
  <w:num w:numId="36">
    <w:abstractNumId w:val="9"/>
  </w:num>
  <w:num w:numId="37">
    <w:abstractNumId w:val="1"/>
  </w:num>
  <w:num w:numId="38">
    <w:abstractNumId w:val="12"/>
  </w:num>
  <w:num w:numId="39">
    <w:abstractNumId w:val="8"/>
  </w:num>
  <w:num w:numId="40">
    <w:abstractNumId w:val="11"/>
  </w:num>
  <w:num w:numId="41">
    <w:abstractNumId w:val="9"/>
  </w:num>
  <w:num w:numId="42">
    <w:abstractNumId w:val="1"/>
  </w:num>
  <w:num w:numId="43">
    <w:abstractNumId w:val="12"/>
  </w:num>
  <w:num w:numId="44">
    <w:abstractNumId w:val="8"/>
  </w:num>
  <w:num w:numId="45">
    <w:abstractNumId w:val="11"/>
  </w:num>
  <w:num w:numId="46">
    <w:abstractNumId w:val="9"/>
  </w:num>
  <w:num w:numId="47">
    <w:abstractNumId w:val="1"/>
  </w:num>
  <w:num w:numId="4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826BD"/>
    <w:rsid w:val="0002306F"/>
    <w:rsid w:val="00024E84"/>
    <w:rsid w:val="00032B08"/>
    <w:rsid w:val="000545ED"/>
    <w:rsid w:val="00081623"/>
    <w:rsid w:val="000E71E1"/>
    <w:rsid w:val="001570EC"/>
    <w:rsid w:val="001711EA"/>
    <w:rsid w:val="001927A1"/>
    <w:rsid w:val="001E4A7D"/>
    <w:rsid w:val="00211167"/>
    <w:rsid w:val="0022673C"/>
    <w:rsid w:val="00234970"/>
    <w:rsid w:val="00280726"/>
    <w:rsid w:val="00283454"/>
    <w:rsid w:val="0029671B"/>
    <w:rsid w:val="002A68D6"/>
    <w:rsid w:val="002B099C"/>
    <w:rsid w:val="002D3010"/>
    <w:rsid w:val="002E7E1A"/>
    <w:rsid w:val="002F2B50"/>
    <w:rsid w:val="003244F8"/>
    <w:rsid w:val="0038120E"/>
    <w:rsid w:val="00396517"/>
    <w:rsid w:val="00431A8C"/>
    <w:rsid w:val="00450BF3"/>
    <w:rsid w:val="0045787D"/>
    <w:rsid w:val="0047460D"/>
    <w:rsid w:val="004962BC"/>
    <w:rsid w:val="004F154A"/>
    <w:rsid w:val="00536CA5"/>
    <w:rsid w:val="00542CF2"/>
    <w:rsid w:val="00585ECE"/>
    <w:rsid w:val="005E5EC6"/>
    <w:rsid w:val="00633E98"/>
    <w:rsid w:val="006826BD"/>
    <w:rsid w:val="006A32AC"/>
    <w:rsid w:val="006A42A0"/>
    <w:rsid w:val="006E624A"/>
    <w:rsid w:val="006F6A96"/>
    <w:rsid w:val="007004E1"/>
    <w:rsid w:val="00723AEC"/>
    <w:rsid w:val="007359AF"/>
    <w:rsid w:val="00792EDC"/>
    <w:rsid w:val="007D13D1"/>
    <w:rsid w:val="00852683"/>
    <w:rsid w:val="00911702"/>
    <w:rsid w:val="009E372D"/>
    <w:rsid w:val="00AC165D"/>
    <w:rsid w:val="00B07A02"/>
    <w:rsid w:val="00B46372"/>
    <w:rsid w:val="00B73F4A"/>
    <w:rsid w:val="00B9668E"/>
    <w:rsid w:val="00BA4ED7"/>
    <w:rsid w:val="00BE483D"/>
    <w:rsid w:val="00C63117"/>
    <w:rsid w:val="00D02118"/>
    <w:rsid w:val="00D10BFA"/>
    <w:rsid w:val="00D400FA"/>
    <w:rsid w:val="00D52BDA"/>
    <w:rsid w:val="00DE0851"/>
    <w:rsid w:val="00DE5CA3"/>
    <w:rsid w:val="00E052D7"/>
    <w:rsid w:val="00E140AE"/>
    <w:rsid w:val="00E638C3"/>
    <w:rsid w:val="00EB1C18"/>
    <w:rsid w:val="00F6462C"/>
    <w:rsid w:val="00F91013"/>
    <w:rsid w:val="00F92278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0545ED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0545ED"/>
    <w:pPr>
      <w:numPr>
        <w:numId w:val="1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0545ED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0545ED"/>
    <w:pPr>
      <w:numPr>
        <w:numId w:val="21"/>
      </w:numPr>
      <w:tabs>
        <w:tab w:val="clear" w:pos="2160"/>
      </w:tabs>
    </w:pPr>
  </w:style>
  <w:style w:type="paragraph" w:styleId="ListBullet3">
    <w:name w:val="List Bullet 3"/>
    <w:basedOn w:val="Normal"/>
    <w:rsid w:val="000545ED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0545ED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0545ED"/>
    <w:pPr>
      <w:numPr>
        <w:numId w:val="2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0545ED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0545ED"/>
    <w:pPr>
      <w:numPr>
        <w:numId w:val="26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0545ED"/>
    <w:pPr>
      <w:numPr>
        <w:numId w:val="2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0545ED"/>
    <w:pPr>
      <w:numPr>
        <w:numId w:val="2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0545ED"/>
    <w:pPr>
      <w:numPr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0545ED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0545ED"/>
    <w:pPr>
      <w:numPr>
        <w:numId w:val="46"/>
      </w:numPr>
      <w:tabs>
        <w:tab w:val="clear" w:pos="2160"/>
      </w:tabs>
    </w:pPr>
  </w:style>
  <w:style w:type="paragraph" w:styleId="ListNumber3">
    <w:name w:val="List Number 3"/>
    <w:basedOn w:val="Normal"/>
    <w:rsid w:val="000545ED"/>
    <w:pPr>
      <w:numPr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0545ED"/>
    <w:pPr>
      <w:numPr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0545ED"/>
    <w:pPr>
      <w:numPr>
        <w:ilvl w:val="1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0545ED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0545ED"/>
    <w:pPr>
      <w:numPr>
        <w:ilvl w:val="1"/>
        <w:numId w:val="46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0545ED"/>
    <w:pPr>
      <w:numPr>
        <w:ilvl w:val="1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0545ED"/>
    <w:pPr>
      <w:numPr>
        <w:ilvl w:val="1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0545ED"/>
    <w:pPr>
      <w:numPr>
        <w:ilvl w:val="2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0545ED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0545ED"/>
    <w:pPr>
      <w:numPr>
        <w:ilvl w:val="2"/>
        <w:numId w:val="46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0545ED"/>
    <w:pPr>
      <w:numPr>
        <w:ilvl w:val="2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0545ED"/>
    <w:pPr>
      <w:numPr>
        <w:ilvl w:val="2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0545ED"/>
    <w:pPr>
      <w:numPr>
        <w:ilvl w:val="3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0545ED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0545ED"/>
    <w:pPr>
      <w:numPr>
        <w:ilvl w:val="3"/>
        <w:numId w:val="46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0545ED"/>
    <w:pPr>
      <w:numPr>
        <w:ilvl w:val="3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0545ED"/>
    <w:pPr>
      <w:numPr>
        <w:ilvl w:val="3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0545ED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0545ED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00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6BD"/>
  </w:style>
  <w:style w:type="paragraph" w:styleId="Footer">
    <w:name w:val="footer"/>
    <w:basedOn w:val="Normal"/>
    <w:link w:val="FooterChar"/>
    <w:uiPriority w:val="99"/>
    <w:unhideWhenUsed/>
    <w:rsid w:val="006826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6BD"/>
  </w:style>
  <w:style w:type="table" w:styleId="TableGrid">
    <w:name w:val="Table Grid"/>
    <w:basedOn w:val="TableNormal"/>
    <w:uiPriority w:val="59"/>
    <w:rsid w:val="0068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702"/>
    <w:rPr>
      <w:rFonts w:ascii="Tahoma" w:hAnsi="Tahoma" w:cs="Tahoma"/>
      <w:sz w:val="16"/>
      <w:szCs w:val="16"/>
    </w:rPr>
  </w:style>
  <w:style w:type="paragraph" w:customStyle="1" w:styleId="Contact">
    <w:name w:val="Contact"/>
    <w:basedOn w:val="Normal"/>
    <w:next w:val="Normal"/>
    <w:rsid w:val="000545ED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rsid w:val="000545ED"/>
    <w:pPr>
      <w:numPr>
        <w:numId w:val="1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rsid w:val="000545ED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Text2"/>
    <w:rsid w:val="000545ED"/>
    <w:pPr>
      <w:numPr>
        <w:numId w:val="21"/>
      </w:numPr>
      <w:tabs>
        <w:tab w:val="clear" w:pos="2160"/>
      </w:tabs>
    </w:pPr>
  </w:style>
  <w:style w:type="paragraph" w:styleId="ListBullet3">
    <w:name w:val="List Bullet 3"/>
    <w:basedOn w:val="Normal"/>
    <w:rsid w:val="000545ED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0545ED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rsid w:val="000545ED"/>
    <w:pPr>
      <w:numPr>
        <w:numId w:val="2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rsid w:val="000545ED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Text2"/>
    <w:rsid w:val="000545ED"/>
    <w:pPr>
      <w:numPr>
        <w:numId w:val="26"/>
      </w:numPr>
      <w:tabs>
        <w:tab w:val="clear" w:pos="2160"/>
      </w:tabs>
    </w:pPr>
  </w:style>
  <w:style w:type="paragraph" w:customStyle="1" w:styleId="ListDash3">
    <w:name w:val="List Dash 3"/>
    <w:basedOn w:val="Normal"/>
    <w:rsid w:val="000545ED"/>
    <w:pPr>
      <w:numPr>
        <w:numId w:val="2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rsid w:val="000545ED"/>
    <w:pPr>
      <w:numPr>
        <w:numId w:val="2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rsid w:val="000545ED"/>
    <w:pPr>
      <w:numPr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rsid w:val="000545ED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Text2"/>
    <w:rsid w:val="000545ED"/>
    <w:pPr>
      <w:numPr>
        <w:numId w:val="46"/>
      </w:numPr>
      <w:tabs>
        <w:tab w:val="clear" w:pos="2160"/>
      </w:tabs>
    </w:pPr>
  </w:style>
  <w:style w:type="paragraph" w:styleId="ListNumber3">
    <w:name w:val="List Number 3"/>
    <w:basedOn w:val="Normal"/>
    <w:rsid w:val="000545ED"/>
    <w:pPr>
      <w:numPr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rsid w:val="000545ED"/>
    <w:pPr>
      <w:numPr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rsid w:val="000545ED"/>
    <w:pPr>
      <w:numPr>
        <w:ilvl w:val="1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rsid w:val="000545ED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Text2"/>
    <w:rsid w:val="000545ED"/>
    <w:pPr>
      <w:numPr>
        <w:ilvl w:val="1"/>
        <w:numId w:val="46"/>
      </w:numPr>
      <w:tabs>
        <w:tab w:val="clear" w:pos="2160"/>
      </w:tabs>
    </w:pPr>
  </w:style>
  <w:style w:type="paragraph" w:customStyle="1" w:styleId="ListNumber3Level2">
    <w:name w:val="List Number 3 (Level 2)"/>
    <w:basedOn w:val="Normal"/>
    <w:rsid w:val="000545ED"/>
    <w:pPr>
      <w:numPr>
        <w:ilvl w:val="1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rsid w:val="000545ED"/>
    <w:pPr>
      <w:numPr>
        <w:ilvl w:val="1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rsid w:val="000545ED"/>
    <w:pPr>
      <w:numPr>
        <w:ilvl w:val="2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rsid w:val="000545ED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Text2"/>
    <w:rsid w:val="000545ED"/>
    <w:pPr>
      <w:numPr>
        <w:ilvl w:val="2"/>
        <w:numId w:val="46"/>
      </w:numPr>
      <w:tabs>
        <w:tab w:val="clear" w:pos="2160"/>
      </w:tabs>
    </w:pPr>
  </w:style>
  <w:style w:type="paragraph" w:customStyle="1" w:styleId="ListNumber3Level3">
    <w:name w:val="List Number 3 (Level 3)"/>
    <w:basedOn w:val="Normal"/>
    <w:rsid w:val="000545ED"/>
    <w:pPr>
      <w:numPr>
        <w:ilvl w:val="2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rsid w:val="000545ED"/>
    <w:pPr>
      <w:numPr>
        <w:ilvl w:val="2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rsid w:val="000545ED"/>
    <w:pPr>
      <w:numPr>
        <w:ilvl w:val="3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rsid w:val="000545ED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Text2"/>
    <w:rsid w:val="000545ED"/>
    <w:pPr>
      <w:numPr>
        <w:ilvl w:val="3"/>
        <w:numId w:val="46"/>
      </w:numPr>
      <w:tabs>
        <w:tab w:val="clear" w:pos="2160"/>
      </w:tabs>
    </w:pPr>
  </w:style>
  <w:style w:type="paragraph" w:customStyle="1" w:styleId="ListNumber3Level4">
    <w:name w:val="List Number 3 (Level 4)"/>
    <w:basedOn w:val="Normal"/>
    <w:rsid w:val="000545ED"/>
    <w:pPr>
      <w:numPr>
        <w:ilvl w:val="3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rsid w:val="000545ED"/>
    <w:pPr>
      <w:numPr>
        <w:ilvl w:val="3"/>
        <w:numId w:val="4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0545ED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00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Normal"/>
    <w:next w:val="Normal"/>
    <w:qFormat/>
    <w:rsid w:val="000545ED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B73F4A"/>
    <w:pPr>
      <w:ind w:left="720"/>
      <w:contextualSpacing/>
    </w:pPr>
  </w:style>
  <w:style w:type="paragraph" w:customStyle="1" w:styleId="Bullet0">
    <w:name w:val="Bullet 0"/>
    <w:basedOn w:val="Normal"/>
    <w:rsid w:val="00542CF2"/>
    <w:pPr>
      <w:numPr>
        <w:numId w:val="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Text2">
    <w:name w:val="Text 2"/>
    <w:basedOn w:val="Normal"/>
    <w:rsid w:val="00542CF2"/>
    <w:pPr>
      <w:tabs>
        <w:tab w:val="left" w:pos="2160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9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9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9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BAE8-11EB-431D-B788-F2AD5217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MANNING Robin (AGRI)</dc:creator>
  <cp:lastModifiedBy>MARION Gaelle (AGRI)</cp:lastModifiedBy>
  <cp:revision>4</cp:revision>
  <dcterms:created xsi:type="dcterms:W3CDTF">2015-10-21T08:30:00Z</dcterms:created>
  <dcterms:modified xsi:type="dcterms:W3CDTF">2015-10-21T08:39:00Z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NOT.DOT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40001</vt:lpwstr>
  </property>
</Properties>
</file>