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51" w:rsidRPr="0058711F" w:rsidRDefault="00BF1A13" w:rsidP="0058711F">
      <w:pPr>
        <w:spacing w:before="0"/>
        <w:jc w:val="center"/>
        <w:rPr>
          <w:b/>
        </w:rPr>
      </w:pPr>
      <w:bookmarkStart w:id="0" w:name="_GoBack"/>
      <w:bookmarkEnd w:id="0"/>
      <w:r w:rsidRPr="00CF302C">
        <w:rPr>
          <w:b/>
        </w:rPr>
        <w:t xml:space="preserve">PRESENTATION AT </w:t>
      </w:r>
      <w:r w:rsidR="0058711F" w:rsidRPr="0058711F">
        <w:rPr>
          <w:b/>
        </w:rPr>
        <w:t>CDG HOS "FRUIT &amp; VEGETABLES"</w:t>
      </w:r>
    </w:p>
    <w:p w:rsidR="00D77CF0" w:rsidRPr="00CF302C" w:rsidRDefault="00D77CF0" w:rsidP="00CF302C">
      <w:pPr>
        <w:pStyle w:val="Heading1"/>
      </w:pPr>
      <w:r w:rsidRPr="00CF302C">
        <w:t>Background</w:t>
      </w:r>
      <w:r w:rsidR="00DF710F" w:rsidRPr="00CF302C">
        <w:t xml:space="preserve"> (</w:t>
      </w:r>
      <w:r w:rsidR="00CF302C" w:rsidRPr="00CF302C">
        <w:t>title slide</w:t>
      </w:r>
      <w:r w:rsidR="00DF710F" w:rsidRPr="00CF302C">
        <w:t>)</w:t>
      </w:r>
    </w:p>
    <w:p w:rsidR="00D77CF0" w:rsidRPr="00CF302C" w:rsidRDefault="00CF302C" w:rsidP="008F1313">
      <w:pPr>
        <w:pStyle w:val="ListParagraph"/>
      </w:pPr>
      <w:r w:rsidRPr="00CF302C">
        <w:t xml:space="preserve">Market transparency is </w:t>
      </w:r>
      <w:r w:rsidR="00D77CF0" w:rsidRPr="00CF302C">
        <w:t xml:space="preserve">part of the </w:t>
      </w:r>
      <w:r w:rsidRPr="00CF302C">
        <w:t xml:space="preserve">initiative to improve </w:t>
      </w:r>
      <w:r>
        <w:br/>
      </w:r>
      <w:r w:rsidRPr="00CF302C">
        <w:t xml:space="preserve">the functioning of the food supply chain </w:t>
      </w:r>
    </w:p>
    <w:p w:rsidR="00D77CF0" w:rsidRPr="00CF302C" w:rsidRDefault="00CF302C" w:rsidP="00CF302C">
      <w:pPr>
        <w:pStyle w:val="ListParagraph"/>
      </w:pPr>
      <w:r>
        <w:t>In particular it is a f</w:t>
      </w:r>
      <w:r w:rsidR="00D77CF0" w:rsidRPr="00CF302C">
        <w:t>ollow-up of the report</w:t>
      </w:r>
      <w:r>
        <w:t xml:space="preserve"> of the Agricultural Markets Task Force </w:t>
      </w:r>
    </w:p>
    <w:p w:rsidR="00CF302C" w:rsidRDefault="00CF302C" w:rsidP="00CF302C">
      <w:pPr>
        <w:pStyle w:val="ListParagraph"/>
      </w:pPr>
      <w:r>
        <w:t xml:space="preserve">The two other components of the AMTF report are covered already: </w:t>
      </w:r>
    </w:p>
    <w:p w:rsidR="00D77CF0" w:rsidRPr="00CF302C" w:rsidRDefault="00CF302C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 xml:space="preserve">On </w:t>
      </w:r>
      <w:r w:rsidR="00D77CF0" w:rsidRPr="00CF302C">
        <w:t xml:space="preserve">UTPs </w:t>
      </w:r>
      <w:r>
        <w:t xml:space="preserve">we have a </w:t>
      </w:r>
      <w:r w:rsidR="00D77CF0" w:rsidRPr="00CF302C">
        <w:t>political agreement</w:t>
      </w:r>
      <w:r>
        <w:t xml:space="preserve"> on the</w:t>
      </w:r>
      <w:r w:rsidR="00D77CF0" w:rsidRPr="00CF302C">
        <w:t xml:space="preserve"> proposal for a Directive</w:t>
      </w:r>
      <w:r>
        <w:t xml:space="preserve">, and </w:t>
      </w:r>
    </w:p>
    <w:p w:rsidR="00D77CF0" w:rsidRPr="00CF302C" w:rsidRDefault="00733F5B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p</w:t>
      </w:r>
      <w:r w:rsidR="00CF302C">
        <w:t>roducer cooperation and v</w:t>
      </w:r>
      <w:r w:rsidR="00D77CF0" w:rsidRPr="00CF302C">
        <w:t xml:space="preserve">alue-sharing agreements </w:t>
      </w:r>
      <w:r w:rsidR="00CF302C">
        <w:t xml:space="preserve">were included </w:t>
      </w:r>
      <w:r>
        <w:t>in the </w:t>
      </w:r>
      <w:r w:rsidR="00CF302C">
        <w:t>‘O</w:t>
      </w:r>
      <w:r w:rsidR="00D77CF0" w:rsidRPr="00CF302C">
        <w:t xml:space="preserve">mnibus </w:t>
      </w:r>
      <w:r w:rsidR="00CF302C">
        <w:t>R</w:t>
      </w:r>
      <w:r w:rsidR="00D77CF0" w:rsidRPr="00CF302C">
        <w:t>egulation</w:t>
      </w:r>
      <w:r w:rsidR="00CF302C">
        <w:t>’</w:t>
      </w:r>
      <w:r>
        <w:t xml:space="preserve"> (</w:t>
      </w:r>
      <w:r w:rsidRPr="00733F5B">
        <w:t>Regulation (EU) 2017/2393</w:t>
      </w:r>
      <w:r>
        <w:t>)</w:t>
      </w:r>
      <w:r w:rsidR="00CF302C">
        <w:t xml:space="preserve"> </w:t>
      </w:r>
    </w:p>
    <w:p w:rsidR="00DF710F" w:rsidRPr="00CF302C" w:rsidRDefault="00DF710F" w:rsidP="00CF302C">
      <w:pPr>
        <w:pStyle w:val="Heading1"/>
      </w:pPr>
      <w:r w:rsidRPr="00CF302C">
        <w:t xml:space="preserve">Existing legal </w:t>
      </w:r>
      <w:r w:rsidR="00CF302C" w:rsidRPr="00CF302C">
        <w:t xml:space="preserve">framework (slide </w:t>
      </w:r>
      <w:r w:rsidRPr="00CF302C">
        <w:t>2)</w:t>
      </w:r>
    </w:p>
    <w:p w:rsidR="00D77CF0" w:rsidRPr="00CF302C" w:rsidRDefault="00D77CF0" w:rsidP="00CF302C">
      <w:pPr>
        <w:pStyle w:val="ListParagraph"/>
      </w:pPr>
      <w:r w:rsidRPr="00CF302C">
        <w:t xml:space="preserve">Market transparency </w:t>
      </w:r>
      <w:r w:rsidR="008F1313">
        <w:t xml:space="preserve">has a </w:t>
      </w:r>
      <w:r w:rsidRPr="00CF302C">
        <w:t xml:space="preserve">legal basis </w:t>
      </w:r>
      <w:r w:rsidR="008F1313">
        <w:t>in the CMO Regulation (</w:t>
      </w:r>
      <w:r w:rsidRPr="00CF302C">
        <w:t>1308/2013</w:t>
      </w:r>
      <w:r w:rsidR="008F1313">
        <w:t>)</w:t>
      </w:r>
      <w:r w:rsidRPr="00CF302C">
        <w:t xml:space="preserve"> </w:t>
      </w:r>
      <w:r w:rsidR="008F1313">
        <w:t xml:space="preserve">and the related delegated and implementing acts (2017/1183 and 1185) </w:t>
      </w:r>
    </w:p>
    <w:p w:rsidR="0046588C" w:rsidRPr="00CF302C" w:rsidRDefault="008F1313" w:rsidP="00CF302C">
      <w:pPr>
        <w:pStyle w:val="ListParagraph"/>
      </w:pPr>
      <w:r>
        <w:t>This legal framework defines the o</w:t>
      </w:r>
      <w:r w:rsidR="0046588C" w:rsidRPr="00CF302C">
        <w:t xml:space="preserve">bjectives </w:t>
      </w:r>
      <w:r w:rsidR="003B3D16">
        <w:t>and requirements for the collection </w:t>
      </w:r>
      <w:r w:rsidR="0046588C" w:rsidRPr="00CF302C">
        <w:t>and dissemination</w:t>
      </w:r>
      <w:r>
        <w:t xml:space="preserve"> </w:t>
      </w:r>
      <w:r w:rsidR="003B3D16">
        <w:t xml:space="preserve">of market data </w:t>
      </w:r>
    </w:p>
    <w:p w:rsidR="00D77CF0" w:rsidRPr="008F1313" w:rsidRDefault="0046588C" w:rsidP="008F1313">
      <w:pPr>
        <w:pStyle w:val="Heading1"/>
      </w:pPr>
      <w:r w:rsidRPr="00CF302C">
        <w:t>Economic context</w:t>
      </w:r>
      <w:r w:rsidR="008F1313">
        <w:t xml:space="preserve"> (slide </w:t>
      </w:r>
      <w:r w:rsidR="00DF710F" w:rsidRPr="00CF302C">
        <w:t>3)</w:t>
      </w:r>
    </w:p>
    <w:p w:rsidR="0046588C" w:rsidRDefault="003B3D16" w:rsidP="003B3D16">
      <w:pPr>
        <w:pStyle w:val="ListParagraph"/>
      </w:pPr>
      <w:r>
        <w:t>M</w:t>
      </w:r>
      <w:r w:rsidR="0046588C" w:rsidRPr="008F1313">
        <w:t xml:space="preserve">arket information </w:t>
      </w:r>
      <w:r w:rsidR="00B35270">
        <w:t xml:space="preserve">is </w:t>
      </w:r>
      <w:r w:rsidR="0046588C" w:rsidRPr="008F1313">
        <w:t>of increasing importance</w:t>
      </w:r>
      <w:r w:rsidR="00A6120A">
        <w:t xml:space="preserve"> </w:t>
      </w:r>
      <w:r>
        <w:t>to the extent that</w:t>
      </w:r>
    </w:p>
    <w:p w:rsidR="00A6120A" w:rsidRPr="00A6120A" w:rsidRDefault="00A6120A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A6120A">
        <w:t xml:space="preserve">market orientation </w:t>
      </w:r>
      <w:r w:rsidR="003B3D16">
        <w:t xml:space="preserve">in </w:t>
      </w:r>
      <w:r w:rsidRPr="00A6120A">
        <w:t>the agri-food sector</w:t>
      </w:r>
      <w:r w:rsidR="003B3D16">
        <w:t xml:space="preserve"> increases </w:t>
      </w:r>
      <w:r>
        <w:t xml:space="preserve"> </w:t>
      </w:r>
    </w:p>
    <w:p w:rsidR="00A6120A" w:rsidRPr="00A6120A" w:rsidRDefault="003B3D16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 xml:space="preserve">as does </w:t>
      </w:r>
      <w:r w:rsidR="00A6120A" w:rsidRPr="00A6120A">
        <w:t xml:space="preserve">market concentration at the processing and retail stages </w:t>
      </w:r>
    </w:p>
    <w:p w:rsidR="003B3D16" w:rsidRPr="00A6120A" w:rsidRDefault="003B3D16" w:rsidP="003B3D16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while the entire chain integrates</w:t>
      </w:r>
      <w:r w:rsidRPr="00A6120A">
        <w:t xml:space="preserve"> </w:t>
      </w:r>
      <w:r>
        <w:t xml:space="preserve">ever more </w:t>
      </w:r>
      <w:r w:rsidRPr="00A6120A">
        <w:t xml:space="preserve">into global markets </w:t>
      </w:r>
    </w:p>
    <w:p w:rsidR="00A6120A" w:rsidRPr="00A6120A" w:rsidRDefault="003B3D16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 xml:space="preserve">and </w:t>
      </w:r>
      <w:r w:rsidR="00A6120A" w:rsidRPr="00A6120A">
        <w:t xml:space="preserve">consumer demand </w:t>
      </w:r>
      <w:r>
        <w:t>is changing, too</w:t>
      </w:r>
    </w:p>
    <w:p w:rsidR="0046588C" w:rsidRPr="00CF302C" w:rsidRDefault="003B3D16" w:rsidP="003B3D16">
      <w:r>
        <w:t>&gt;&gt; M</w:t>
      </w:r>
      <w:r w:rsidR="0046588C" w:rsidRPr="00CF302C">
        <w:t xml:space="preserve">any stakeholders and public authorities </w:t>
      </w:r>
      <w:r w:rsidR="00B35270">
        <w:t xml:space="preserve">call </w:t>
      </w:r>
      <w:r w:rsidR="0046588C" w:rsidRPr="00CF302C">
        <w:t xml:space="preserve">for </w:t>
      </w:r>
      <w:r>
        <w:t xml:space="preserve">more </w:t>
      </w:r>
      <w:r w:rsidR="00B35270">
        <w:t xml:space="preserve">market transparency </w:t>
      </w:r>
    </w:p>
    <w:p w:rsidR="0046588C" w:rsidRPr="00CF302C" w:rsidRDefault="0046588C" w:rsidP="008F1313">
      <w:pPr>
        <w:pStyle w:val="Heading1"/>
      </w:pPr>
      <w:r w:rsidRPr="00CF302C">
        <w:t>Political context</w:t>
      </w:r>
      <w:r w:rsidR="00B35270">
        <w:t xml:space="preserve"> (slide </w:t>
      </w:r>
      <w:r w:rsidR="00DF710F" w:rsidRPr="00CF302C">
        <w:t>4)</w:t>
      </w:r>
    </w:p>
    <w:p w:rsidR="0046588C" w:rsidRPr="00CF302C" w:rsidRDefault="00A6120A" w:rsidP="005D6A7F">
      <w:pPr>
        <w:pStyle w:val="ListParagraph"/>
      </w:pPr>
      <w:r>
        <w:t xml:space="preserve">First – in 2016 – there were calls from </w:t>
      </w:r>
      <w:r w:rsidR="0046588C" w:rsidRPr="00CF302C">
        <w:t xml:space="preserve">both the Council and the Parliament to address the issue of market transparency along the </w:t>
      </w:r>
      <w:r>
        <w:t xml:space="preserve">food supply chain, and now that we working on the issue, both Council and Parliament want the Commission to finalise this work </w:t>
      </w:r>
    </w:p>
    <w:p w:rsidR="0046588C" w:rsidRPr="00CF302C" w:rsidRDefault="0046588C" w:rsidP="00E26CE7">
      <w:pPr>
        <w:pStyle w:val="Heading1"/>
      </w:pPr>
      <w:r w:rsidRPr="00CF302C">
        <w:lastRenderedPageBreak/>
        <w:t>Baseline</w:t>
      </w:r>
      <w:r w:rsidR="00B35270">
        <w:t xml:space="preserve"> (slide </w:t>
      </w:r>
      <w:r w:rsidR="00DF710F" w:rsidRPr="00CF302C">
        <w:t>5)</w:t>
      </w:r>
    </w:p>
    <w:p w:rsidR="0046588C" w:rsidRPr="00CF302C" w:rsidRDefault="00A6120A" w:rsidP="00E26CE7">
      <w:pPr>
        <w:pStyle w:val="ListParagraph"/>
        <w:keepNext/>
      </w:pPr>
      <w:r>
        <w:t xml:space="preserve">Downstream of agricultural producers, the food supply chain is a ‘black box’ </w:t>
      </w:r>
    </w:p>
    <w:p w:rsidR="00A6120A" w:rsidRDefault="00A6120A" w:rsidP="00E26CE7">
      <w:pPr>
        <w:pStyle w:val="ListParagraph"/>
        <w:keepNext/>
      </w:pPr>
      <w:r>
        <w:t>P</w:t>
      </w:r>
      <w:r w:rsidR="0046588C" w:rsidRPr="00CF302C">
        <w:t xml:space="preserve">rices </w:t>
      </w:r>
      <w:r>
        <w:t xml:space="preserve">are available on a </w:t>
      </w:r>
      <w:r w:rsidR="0046588C" w:rsidRPr="00CF302C">
        <w:t xml:space="preserve">weekly </w:t>
      </w:r>
      <w:r>
        <w:t xml:space="preserve">basis </w:t>
      </w:r>
      <w:r w:rsidR="0046588C" w:rsidRPr="00CF302C">
        <w:t xml:space="preserve">or </w:t>
      </w:r>
      <w:r>
        <w:t xml:space="preserve">even </w:t>
      </w:r>
      <w:r w:rsidR="0046588C" w:rsidRPr="00CF302C">
        <w:t>less</w:t>
      </w:r>
      <w:r>
        <w:t xml:space="preserve"> frequently </w:t>
      </w:r>
    </w:p>
    <w:p w:rsidR="0046588C" w:rsidRPr="00A6120A" w:rsidRDefault="00A6120A" w:rsidP="00E26CE7">
      <w:pPr>
        <w:pStyle w:val="ListParagraph"/>
        <w:keepNext/>
      </w:pPr>
      <w:r w:rsidRPr="00A6120A">
        <w:t>S</w:t>
      </w:r>
      <w:r w:rsidR="0046588C" w:rsidRPr="00A6120A">
        <w:t xml:space="preserve">ome quantities </w:t>
      </w:r>
      <w:r w:rsidRPr="00A6120A">
        <w:t xml:space="preserve">are available on </w:t>
      </w:r>
      <w:r w:rsidR="0046588C" w:rsidRPr="00A6120A">
        <w:t>production levels</w:t>
      </w:r>
      <w:r w:rsidRPr="00A6120A">
        <w:t xml:space="preserve"> and </w:t>
      </w:r>
      <w:r w:rsidR="0046588C" w:rsidRPr="00A6120A">
        <w:t>stocks</w:t>
      </w:r>
      <w:r w:rsidRPr="00A6120A">
        <w:t xml:space="preserve">, </w:t>
      </w:r>
      <w:r>
        <w:br/>
      </w:r>
      <w:r w:rsidR="003B3D16">
        <w:t xml:space="preserve">even if </w:t>
      </w:r>
      <w:r w:rsidR="0046588C" w:rsidRPr="00A6120A">
        <w:t xml:space="preserve">some of these are </w:t>
      </w:r>
      <w:r w:rsidRPr="00A6120A">
        <w:t xml:space="preserve">only </w:t>
      </w:r>
      <w:r w:rsidR="003B3D16">
        <w:t xml:space="preserve">reported </w:t>
      </w:r>
      <w:r w:rsidR="0046588C" w:rsidRPr="00A6120A">
        <w:t>on a voluntary basis</w:t>
      </w:r>
      <w:r w:rsidRPr="00A6120A">
        <w:t xml:space="preserve"> </w:t>
      </w:r>
    </w:p>
    <w:p w:rsidR="00A6120A" w:rsidRPr="00A6120A" w:rsidRDefault="00A6120A" w:rsidP="00E26CE7">
      <w:pPr>
        <w:pStyle w:val="ListParagraph"/>
        <w:keepNext/>
      </w:pPr>
      <w:r w:rsidRPr="00A6120A">
        <w:t xml:space="preserve">For some products all </w:t>
      </w:r>
      <w:r>
        <w:t xml:space="preserve">Member States </w:t>
      </w:r>
      <w:r w:rsidRPr="00A6120A">
        <w:t xml:space="preserve">report data, for others only </w:t>
      </w:r>
      <w:r w:rsidRPr="00A6120A">
        <w:br/>
        <w:t xml:space="preserve">if their production is above certain thresholds </w:t>
      </w:r>
    </w:p>
    <w:p w:rsidR="00A6120A" w:rsidRPr="00A6120A" w:rsidRDefault="00A6120A" w:rsidP="00E26CE7">
      <w:pPr>
        <w:pStyle w:val="ListParagraph"/>
        <w:keepNext/>
      </w:pPr>
      <w:r w:rsidRPr="00A6120A">
        <w:t>Operators report to M</w:t>
      </w:r>
      <w:r>
        <w:t xml:space="preserve">ember </w:t>
      </w:r>
      <w:r w:rsidRPr="00A6120A">
        <w:t>S</w:t>
      </w:r>
      <w:r>
        <w:t>tate</w:t>
      </w:r>
      <w:r w:rsidRPr="00A6120A">
        <w:t>s,</w:t>
      </w:r>
      <w:r w:rsidR="003B3D16">
        <w:t xml:space="preserve"> which verify and transmit the data to the </w:t>
      </w:r>
      <w:r w:rsidRPr="00A6120A">
        <w:t>Commission</w:t>
      </w:r>
      <w:r w:rsidR="003B3D16">
        <w:t xml:space="preserve">, but there is </w:t>
      </w:r>
    </w:p>
    <w:p w:rsidR="00A6120A" w:rsidRDefault="00A6120A" w:rsidP="00E26CE7">
      <w:pPr>
        <w:pStyle w:val="ListParagraph"/>
        <w:keepNext/>
      </w:pPr>
      <w:r>
        <w:t>N</w:t>
      </w:r>
      <w:r w:rsidRPr="00A6120A">
        <w:t xml:space="preserve">o coordination </w:t>
      </w:r>
      <w:r>
        <w:t>of Member States’ systems an</w:t>
      </w:r>
      <w:r w:rsidR="003B3D16">
        <w:t>d no exchange of best practices</w:t>
      </w:r>
      <w:r>
        <w:t xml:space="preserve"> </w:t>
      </w:r>
    </w:p>
    <w:p w:rsidR="00A6120A" w:rsidRPr="00A6120A" w:rsidRDefault="003B3D16" w:rsidP="00E26CE7">
      <w:pPr>
        <w:pStyle w:val="ListParagraph"/>
        <w:keepNext/>
      </w:pPr>
      <w:r>
        <w:t xml:space="preserve">This means </w:t>
      </w:r>
      <w:r w:rsidR="00A6120A">
        <w:t xml:space="preserve">there is a wide variety of national approaches </w:t>
      </w:r>
      <w:r w:rsidR="00A6120A">
        <w:br/>
        <w:t>(from advanced market information systems to minimum reporting</w:t>
      </w:r>
      <w:r w:rsidR="00325FC2">
        <w:t xml:space="preserve">) </w:t>
      </w:r>
    </w:p>
    <w:p w:rsidR="00A6120A" w:rsidRPr="00A6120A" w:rsidRDefault="003B3D16" w:rsidP="009D4A9C">
      <w:pPr>
        <w:pStyle w:val="ListParagraph"/>
        <w:ind w:left="357" w:hanging="357"/>
      </w:pPr>
      <w:r>
        <w:t xml:space="preserve">The data that </w:t>
      </w:r>
      <w:r w:rsidR="00325FC2">
        <w:t xml:space="preserve">is reported to the Commission is disseminated </w:t>
      </w:r>
      <w:r w:rsidR="00A6120A" w:rsidRPr="00A6120A">
        <w:t xml:space="preserve">through </w:t>
      </w:r>
      <w:r w:rsidR="00325FC2">
        <w:t xml:space="preserve">its </w:t>
      </w:r>
      <w:r w:rsidR="00A6120A" w:rsidRPr="00A6120A">
        <w:t xml:space="preserve">systems </w:t>
      </w:r>
      <w:r w:rsidR="00A6120A">
        <w:br/>
      </w:r>
      <w:r w:rsidR="00A6120A" w:rsidRPr="00A6120A">
        <w:t>(dashboards, agri-food data portal, observatories)</w:t>
      </w:r>
    </w:p>
    <w:p w:rsidR="0046588C" w:rsidRPr="00CF302C" w:rsidRDefault="003B3D16" w:rsidP="00CF302C">
      <w:pPr>
        <w:pStyle w:val="ListParagraph"/>
      </w:pPr>
      <w:r>
        <w:t>But</w:t>
      </w:r>
      <w:r w:rsidR="00287F7B">
        <w:t xml:space="preserve"> </w:t>
      </w:r>
      <w:r w:rsidR="0046588C" w:rsidRPr="00CF302C">
        <w:t xml:space="preserve">some </w:t>
      </w:r>
      <w:r w:rsidR="00287F7B">
        <w:t xml:space="preserve">Member States, </w:t>
      </w:r>
      <w:r w:rsidR="0046588C" w:rsidRPr="00CF302C">
        <w:t>IBOs</w:t>
      </w:r>
      <w:r>
        <w:t xml:space="preserve"> or market intelligence companies may </w:t>
      </w:r>
      <w:r w:rsidR="00287F7B">
        <w:t xml:space="preserve">also disseminate or sell related data </w:t>
      </w:r>
    </w:p>
    <w:p w:rsidR="009B67F5" w:rsidRPr="00CF302C" w:rsidRDefault="00DF710F" w:rsidP="00325FC2">
      <w:pPr>
        <w:pStyle w:val="Heading1"/>
      </w:pPr>
      <w:r w:rsidRPr="00CF302C">
        <w:t xml:space="preserve">Member </w:t>
      </w:r>
      <w:r w:rsidR="00325FC2">
        <w:t xml:space="preserve">States and stakeholders views (slide </w:t>
      </w:r>
      <w:r w:rsidRPr="00CF302C">
        <w:t>6)</w:t>
      </w:r>
    </w:p>
    <w:p w:rsidR="003E5952" w:rsidRDefault="00E26CE7" w:rsidP="00E26CE7">
      <w:pPr>
        <w:pStyle w:val="ListParagraph"/>
      </w:pPr>
      <w:r>
        <w:t xml:space="preserve">The Commission has carried out a comprehensive consultation of Member States, stakeholders and </w:t>
      </w:r>
      <w:r w:rsidR="003B3D16">
        <w:t xml:space="preserve">technical </w:t>
      </w:r>
      <w:r>
        <w:t>experts</w:t>
      </w:r>
      <w:r w:rsidR="003B3D16">
        <w:t xml:space="preserve">, as you see on the slide </w:t>
      </w:r>
      <w:r w:rsidR="003E5952">
        <w:t xml:space="preserve"> </w:t>
      </w:r>
    </w:p>
    <w:p w:rsidR="00D77CF0" w:rsidRPr="00CF302C" w:rsidRDefault="003E5952" w:rsidP="00E26CE7">
      <w:pPr>
        <w:pStyle w:val="ListParagraph"/>
      </w:pPr>
      <w:r>
        <w:t xml:space="preserve">Last year we organised in particular two workshops and we circulated specific questionnaires: </w:t>
      </w:r>
      <w:r w:rsidR="00E26CE7">
        <w:t xml:space="preserve"> </w:t>
      </w:r>
    </w:p>
    <w:p w:rsidR="00D77CF0" w:rsidRPr="00CF302C" w:rsidRDefault="00E26CE7" w:rsidP="00E26CE7">
      <w:pPr>
        <w:pStyle w:val="Heading1"/>
      </w:pPr>
      <w:r>
        <w:t xml:space="preserve">Questionnaire – Stakeholders (slide </w:t>
      </w:r>
      <w:r w:rsidR="00DF710F" w:rsidRPr="00CF302C">
        <w:t>7)</w:t>
      </w:r>
    </w:p>
    <w:p w:rsidR="00AE3737" w:rsidRDefault="0046483B" w:rsidP="0057602D">
      <w:pPr>
        <w:pStyle w:val="ListParagraph"/>
      </w:pPr>
      <w:r>
        <w:t xml:space="preserve">Over </w:t>
      </w:r>
      <w:r w:rsidR="00DF710F" w:rsidRPr="00CF302C">
        <w:t>5</w:t>
      </w:r>
      <w:r>
        <w:t>0</w:t>
      </w:r>
      <w:r w:rsidR="00DF710F" w:rsidRPr="00CF302C">
        <w:t xml:space="preserve"> responses were obtained from </w:t>
      </w:r>
      <w:r w:rsidR="00AE3737">
        <w:t xml:space="preserve">representatives of the </w:t>
      </w:r>
      <w:r w:rsidR="00DF710F" w:rsidRPr="00CF302C">
        <w:t>var</w:t>
      </w:r>
      <w:r w:rsidR="00AE3737">
        <w:t>ious stages of </w:t>
      </w:r>
      <w:r w:rsidR="00DF710F" w:rsidRPr="00CF302C">
        <w:t xml:space="preserve">the </w:t>
      </w:r>
      <w:r w:rsidR="00AE3737">
        <w:t xml:space="preserve">food supply chain – i.e. from </w:t>
      </w:r>
      <w:r w:rsidR="00AE3737" w:rsidRPr="00CF302C">
        <w:t>trade, profess</w:t>
      </w:r>
      <w:r w:rsidR="00AE3737">
        <w:t xml:space="preserve">ional or business organisations: </w:t>
      </w:r>
      <w:r>
        <w:t xml:space="preserve"> </w:t>
      </w:r>
    </w:p>
    <w:p w:rsidR="0046483B" w:rsidRDefault="0046483B" w:rsidP="0057602D">
      <w:pPr>
        <w:pStyle w:val="ListParagraph"/>
      </w:pPr>
      <w:r>
        <w:t xml:space="preserve">22 from </w:t>
      </w:r>
      <w:r w:rsidR="00DF710F" w:rsidRPr="00CF302C">
        <w:t xml:space="preserve">agriculture, </w:t>
      </w:r>
      <w:r>
        <w:t xml:space="preserve">18 from </w:t>
      </w:r>
      <w:r w:rsidR="00DF710F" w:rsidRPr="00CF302C">
        <w:t xml:space="preserve">food processing, </w:t>
      </w:r>
      <w:r>
        <w:t xml:space="preserve">10 from </w:t>
      </w:r>
      <w:r w:rsidR="00DF710F" w:rsidRPr="00CF302C">
        <w:t xml:space="preserve">wholesale </w:t>
      </w:r>
      <w:r>
        <w:t xml:space="preserve">&amp; </w:t>
      </w:r>
      <w:r w:rsidR="00DF710F" w:rsidRPr="00CF302C">
        <w:t>retail</w:t>
      </w:r>
      <w:r w:rsidR="00AE3737">
        <w:t xml:space="preserve"> </w:t>
      </w:r>
    </w:p>
    <w:p w:rsidR="0046483B" w:rsidRPr="0046483B" w:rsidRDefault="00DF710F" w:rsidP="0046483B">
      <w:pPr>
        <w:pStyle w:val="ListParagraph"/>
      </w:pPr>
      <w:r w:rsidRPr="0057602D">
        <w:t>98</w:t>
      </w:r>
      <w:r w:rsidR="00AF5CBF">
        <w:t xml:space="preserve"> % </w:t>
      </w:r>
      <w:r w:rsidRPr="0046483B">
        <w:t>of respondents state that marke</w:t>
      </w:r>
      <w:r w:rsidR="0046483B" w:rsidRPr="0046483B">
        <w:t>t transparency is necessary for </w:t>
      </w:r>
      <w:r w:rsidRPr="0046483B">
        <w:t xml:space="preserve">competition in the </w:t>
      </w:r>
      <w:r w:rsidR="0046483B" w:rsidRPr="0046483B">
        <w:t xml:space="preserve">food supply chain </w:t>
      </w:r>
    </w:p>
    <w:p w:rsidR="00DF710F" w:rsidRPr="00CF302C" w:rsidRDefault="00DF710F" w:rsidP="0046483B">
      <w:pPr>
        <w:pStyle w:val="ListParagraph"/>
      </w:pPr>
      <w:r w:rsidRPr="0046483B">
        <w:t>73</w:t>
      </w:r>
      <w:r w:rsidR="00AF5CBF">
        <w:t> %</w:t>
      </w:r>
      <w:r w:rsidRPr="0046483B">
        <w:t xml:space="preserve"> </w:t>
      </w:r>
      <w:r w:rsidRPr="00CF302C">
        <w:t xml:space="preserve">state </w:t>
      </w:r>
      <w:r w:rsidRPr="0057602D">
        <w:t>that</w:t>
      </w:r>
      <w:r w:rsidRPr="00CF302C">
        <w:t xml:space="preserve"> the current level of market transparency </w:t>
      </w:r>
      <w:r w:rsidR="003B3D16">
        <w:t>is insufficient or has a </w:t>
      </w:r>
      <w:r w:rsidR="00AF5CBF">
        <w:t>negative impact in </w:t>
      </w:r>
      <w:r w:rsidR="00AE3737">
        <w:t>their sector</w:t>
      </w:r>
      <w:r w:rsidRPr="00CF302C">
        <w:t xml:space="preserve"> </w:t>
      </w:r>
    </w:p>
    <w:p w:rsidR="00DF710F" w:rsidRPr="00CF302C" w:rsidRDefault="00DF710F" w:rsidP="009B3E26">
      <w:pPr>
        <w:pStyle w:val="Heading1"/>
      </w:pPr>
      <w:r w:rsidRPr="00CF302C">
        <w:lastRenderedPageBreak/>
        <w:t>GREX/CGD workshop (</w:t>
      </w:r>
      <w:r w:rsidR="0057602D">
        <w:t xml:space="preserve">slide </w:t>
      </w:r>
      <w:r w:rsidRPr="00CF302C">
        <w:t>8)</w:t>
      </w:r>
    </w:p>
    <w:p w:rsidR="009B3E26" w:rsidRPr="009B3E26" w:rsidRDefault="009B3E26" w:rsidP="009B3E26">
      <w:pPr>
        <w:keepNext/>
      </w:pPr>
      <w:r w:rsidRPr="009B3E26">
        <w:t>Calls for:</w:t>
      </w:r>
    </w:p>
    <w:p w:rsidR="009B3E26" w:rsidRPr="009B3E26" w:rsidRDefault="009B3E26" w:rsidP="009B3E26">
      <w:pPr>
        <w:pStyle w:val="ListParagraph"/>
        <w:keepNext/>
      </w:pPr>
      <w:r w:rsidRPr="009B3E26">
        <w:t>bet</w:t>
      </w:r>
      <w:r w:rsidR="003B3D16">
        <w:t>ter use of existing information</w:t>
      </w:r>
      <w:r w:rsidRPr="009B3E26">
        <w:t xml:space="preserve"> </w:t>
      </w:r>
    </w:p>
    <w:p w:rsidR="009B3E26" w:rsidRPr="009B3E26" w:rsidRDefault="003B3D16" w:rsidP="009B3E26">
      <w:pPr>
        <w:pStyle w:val="ListParagraph"/>
        <w:keepNext/>
      </w:pPr>
      <w:r>
        <w:t>improved data quality</w:t>
      </w:r>
      <w:r w:rsidR="009B3E26" w:rsidRPr="009B3E26">
        <w:t xml:space="preserve"> </w:t>
      </w:r>
    </w:p>
    <w:p w:rsidR="009B3E26" w:rsidRPr="009B3E26" w:rsidRDefault="003B3D16" w:rsidP="009B3E26">
      <w:pPr>
        <w:pStyle w:val="ListParagraph"/>
        <w:keepNext/>
      </w:pPr>
      <w:r>
        <w:t>greater</w:t>
      </w:r>
      <w:r w:rsidR="009B3E26" w:rsidRPr="009B3E26">
        <w:t xml:space="preserve"> timeliness of diss</w:t>
      </w:r>
      <w:r>
        <w:t>emination</w:t>
      </w:r>
      <w:r w:rsidR="009B3E26" w:rsidRPr="009B3E26">
        <w:t xml:space="preserve"> </w:t>
      </w:r>
    </w:p>
    <w:p w:rsidR="009B3E26" w:rsidRPr="009B3E26" w:rsidRDefault="009B3E26" w:rsidP="009B3E26">
      <w:pPr>
        <w:pStyle w:val="ListParagraph"/>
        <w:keepNext/>
      </w:pPr>
      <w:r w:rsidRPr="009B3E26">
        <w:t xml:space="preserve">being mindful </w:t>
      </w:r>
      <w:r w:rsidR="003B3D16">
        <w:t>of costs of collecting new data</w:t>
      </w:r>
      <w:r w:rsidRPr="009B3E26">
        <w:t xml:space="preserve"> </w:t>
      </w:r>
    </w:p>
    <w:p w:rsidR="009B3E26" w:rsidRPr="009B3E26" w:rsidRDefault="009B3E26" w:rsidP="009B3E26">
      <w:pPr>
        <w:pStyle w:val="ListParagraph"/>
        <w:keepNext/>
      </w:pPr>
      <w:r w:rsidRPr="009B3E26">
        <w:t xml:space="preserve">considering </w:t>
      </w:r>
      <w:r w:rsidR="003B3D16">
        <w:t>other data like on environmental sustainability</w:t>
      </w:r>
      <w:r w:rsidRPr="009B3E26">
        <w:t xml:space="preserve"> </w:t>
      </w:r>
    </w:p>
    <w:p w:rsidR="009B3E26" w:rsidRPr="009B3E26" w:rsidRDefault="009B3E26" w:rsidP="009D4A9C">
      <w:pPr>
        <w:pStyle w:val="ListParagraph"/>
        <w:ind w:left="357" w:hanging="357"/>
      </w:pPr>
      <w:r w:rsidRPr="009B3E26">
        <w:t xml:space="preserve">better contextualisation of the data, and  </w:t>
      </w:r>
    </w:p>
    <w:p w:rsidR="00DF710F" w:rsidRPr="009B3E26" w:rsidRDefault="009B3E26" w:rsidP="009B3E26">
      <w:pPr>
        <w:pStyle w:val="ListParagraph"/>
      </w:pPr>
      <w:r w:rsidRPr="009B3E26">
        <w:t>structural analyses of the food supply chain</w:t>
      </w:r>
    </w:p>
    <w:p w:rsidR="00DF710F" w:rsidRPr="00CF302C" w:rsidRDefault="009B3E26" w:rsidP="009B3E26">
      <w:pPr>
        <w:pStyle w:val="Heading1"/>
      </w:pPr>
      <w:r>
        <w:t xml:space="preserve">Workshops (slide </w:t>
      </w:r>
      <w:r w:rsidR="00DF710F" w:rsidRPr="00CF302C">
        <w:t>9)</w:t>
      </w:r>
    </w:p>
    <w:p w:rsidR="00DF710F" w:rsidRPr="00CF302C" w:rsidRDefault="009804A0" w:rsidP="009804A0">
      <w:pPr>
        <w:pStyle w:val="ListParagraph"/>
      </w:pPr>
      <w:r>
        <w:t xml:space="preserve">More details can be found online </w:t>
      </w:r>
    </w:p>
    <w:p w:rsidR="00B775F3" w:rsidRPr="00CF302C" w:rsidRDefault="00B775F3" w:rsidP="009804A0">
      <w:pPr>
        <w:pStyle w:val="Heading1"/>
      </w:pPr>
      <w:r w:rsidRPr="00CF302C">
        <w:t xml:space="preserve">Benefits of </w:t>
      </w:r>
      <w:r w:rsidR="009804A0">
        <w:t xml:space="preserve">market transparency </w:t>
      </w:r>
      <w:r w:rsidRPr="00CF302C">
        <w:t>(</w:t>
      </w:r>
      <w:r w:rsidR="009804A0">
        <w:t>slide 1</w:t>
      </w:r>
      <w:r w:rsidRPr="00CF302C">
        <w:t>0)</w:t>
      </w:r>
      <w:r w:rsidR="009804A0">
        <w:t xml:space="preserve"> </w:t>
      </w:r>
    </w:p>
    <w:p w:rsidR="00111A79" w:rsidRPr="00111A79" w:rsidRDefault="00111A79" w:rsidP="00111A79">
      <w:pPr>
        <w:pStyle w:val="ListParagraph"/>
      </w:pPr>
      <w:r w:rsidRPr="00111A79">
        <w:t>Operators in the food supply chain</w:t>
      </w:r>
      <w:r w:rsidR="003B3D16">
        <w:t xml:space="preserve"> </w:t>
      </w:r>
      <w:r w:rsidR="003B3D16">
        <w:br/>
        <w:t>(farmers, processors, retailers)</w:t>
      </w:r>
      <w:r w:rsidRPr="00111A79">
        <w:t xml:space="preserve">: 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Increased production efficiency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Improved risk management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Better manageable price volatility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Increased trust</w:t>
      </w:r>
    </w:p>
    <w:p w:rsidR="00111A79" w:rsidRPr="00111A79" w:rsidRDefault="00111A79" w:rsidP="00111A79">
      <w:pPr>
        <w:pStyle w:val="ListParagraph"/>
      </w:pPr>
      <w:r w:rsidRPr="00111A79">
        <w:t>Public authorities</w:t>
      </w:r>
      <w:r w:rsidR="003B3D16">
        <w:t xml:space="preserve">: </w:t>
      </w:r>
      <w:r w:rsidRPr="00111A79">
        <w:t xml:space="preserve"> 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Reduced need for public intervention</w:t>
      </w:r>
    </w:p>
    <w:p w:rsid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 xml:space="preserve">More informed public policy 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>Better preparation for and response to crises</w:t>
      </w:r>
    </w:p>
    <w:p w:rsidR="00EF6C8B" w:rsidRPr="00111A79" w:rsidRDefault="00EF6C8B" w:rsidP="00EF6C8B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I</w:t>
      </w:r>
      <w:r w:rsidRPr="00111A79">
        <w:t xml:space="preserve">mproved enforcement </w:t>
      </w:r>
    </w:p>
    <w:p w:rsidR="00111A79" w:rsidRPr="00111A79" w:rsidRDefault="00111A79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111A79">
        <w:t xml:space="preserve">Multiplier effects </w:t>
      </w:r>
      <w:r w:rsidR="00EF6C8B">
        <w:t xml:space="preserve">for own spending to improve the functioning of the chain </w:t>
      </w:r>
    </w:p>
    <w:p w:rsidR="00B775F3" w:rsidRPr="00111A79" w:rsidRDefault="00111A79" w:rsidP="00111A79">
      <w:pPr>
        <w:pStyle w:val="ListParagraph"/>
      </w:pPr>
      <w:r>
        <w:t>Other respondents also pointed to b</w:t>
      </w:r>
      <w:r w:rsidRPr="00111A79">
        <w:t>enef</w:t>
      </w:r>
      <w:r>
        <w:t>its for consumers, researchers and the </w:t>
      </w:r>
      <w:r w:rsidRPr="00111A79">
        <w:t>environment</w:t>
      </w:r>
      <w:r w:rsidR="00EF6C8B">
        <w:t xml:space="preserve"> (food waste) </w:t>
      </w:r>
    </w:p>
    <w:p w:rsidR="00B775F3" w:rsidRPr="00CF302C" w:rsidRDefault="00FF0471" w:rsidP="009D4A9C">
      <w:pPr>
        <w:pStyle w:val="Heading1"/>
      </w:pPr>
      <w:r w:rsidRPr="00FF0471">
        <w:t>US Livestock Mandatory Reporting Act</w:t>
      </w:r>
      <w:r w:rsidR="00111A79">
        <w:t xml:space="preserve"> (slide 1</w:t>
      </w:r>
      <w:r w:rsidR="00B775F3" w:rsidRPr="00CF302C">
        <w:t>1)</w:t>
      </w:r>
    </w:p>
    <w:p w:rsidR="009D4A9C" w:rsidRDefault="009D4A9C" w:rsidP="00DC47F4">
      <w:pPr>
        <w:pStyle w:val="ListParagraph"/>
        <w:ind w:left="357" w:hanging="357"/>
      </w:pPr>
      <w:r>
        <w:t xml:space="preserve">We did not only consult stakeholders and experts in the EU, but we also looked at examples from elsewhere, in particular </w:t>
      </w:r>
      <w:r w:rsidR="00DC47F4">
        <w:t xml:space="preserve">at </w:t>
      </w:r>
      <w:r>
        <w:t>the ‘Livestock Mandatory Reporting Act’ in the United States</w:t>
      </w:r>
      <w:r w:rsidR="00DC47F4">
        <w:t xml:space="preserve">. </w:t>
      </w:r>
    </w:p>
    <w:p w:rsidR="00EF6C8B" w:rsidRDefault="00EF6C8B" w:rsidP="00DC47F4">
      <w:pPr>
        <w:pStyle w:val="ListParagraph"/>
        <w:ind w:left="357" w:hanging="357"/>
      </w:pPr>
      <w:r>
        <w:lastRenderedPageBreak/>
        <w:t xml:space="preserve">There the impact of the act is that </w:t>
      </w:r>
    </w:p>
    <w:p w:rsidR="00FF0471" w:rsidRPr="00FF0471" w:rsidRDefault="00EF6C8B" w:rsidP="00DC47F4">
      <w:pPr>
        <w:pStyle w:val="ListParagraph"/>
        <w:keepNext/>
        <w:numPr>
          <w:ilvl w:val="1"/>
          <w:numId w:val="13"/>
        </w:numPr>
        <w:spacing w:before="100"/>
        <w:ind w:left="680" w:hanging="340"/>
      </w:pPr>
      <w:r>
        <w:rPr>
          <w:i/>
        </w:rPr>
        <w:t>E</w:t>
      </w:r>
      <w:r w:rsidR="00FF0471" w:rsidRPr="009D4A9C">
        <w:rPr>
          <w:i/>
        </w:rPr>
        <w:t>xercised</w:t>
      </w:r>
      <w:r w:rsidR="00FF0471" w:rsidRPr="00FF0471">
        <w:t xml:space="preserve"> market power </w:t>
      </w:r>
      <w:r w:rsidR="009D4A9C">
        <w:t xml:space="preserve">is </w:t>
      </w:r>
      <w:r w:rsidR="00FF0471" w:rsidRPr="00FF0471">
        <w:t xml:space="preserve">reduced </w:t>
      </w:r>
    </w:p>
    <w:p w:rsidR="00FF0471" w:rsidRPr="00FF0471" w:rsidRDefault="009D4A9C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D</w:t>
      </w:r>
      <w:r w:rsidR="00FF0471" w:rsidRPr="00FF0471">
        <w:t xml:space="preserve">emand for agricultural products </w:t>
      </w:r>
      <w:r>
        <w:t xml:space="preserve">increased </w:t>
      </w:r>
    </w:p>
    <w:p w:rsidR="00FF0471" w:rsidRPr="00FF0471" w:rsidRDefault="009D4A9C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The m</w:t>
      </w:r>
      <w:r w:rsidR="00FF0471" w:rsidRPr="00FF0471">
        <w:t xml:space="preserve">arket </w:t>
      </w:r>
      <w:r>
        <w:t xml:space="preserve">has become more integrated </w:t>
      </w:r>
    </w:p>
    <w:p w:rsidR="00FF0471" w:rsidRPr="00FF0471" w:rsidRDefault="009D4A9C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>
        <w:t>S</w:t>
      </w:r>
      <w:r w:rsidR="00FF0471" w:rsidRPr="00FF0471">
        <w:t xml:space="preserve">pot &amp; futures prices </w:t>
      </w:r>
      <w:r>
        <w:t>are m</w:t>
      </w:r>
      <w:r w:rsidRPr="00FF0471">
        <w:t xml:space="preserve">ore responsive </w:t>
      </w:r>
      <w:r>
        <w:t xml:space="preserve">– </w:t>
      </w:r>
      <w:r w:rsidRPr="00FF0471">
        <w:t>and</w:t>
      </w:r>
      <w:r>
        <w:t xml:space="preserve"> </w:t>
      </w:r>
      <w:r w:rsidRPr="00FF0471">
        <w:t>converging</w:t>
      </w:r>
      <w:r>
        <w:t xml:space="preserve"> </w:t>
      </w:r>
    </w:p>
    <w:p w:rsidR="006E0E23" w:rsidRPr="00FF0471" w:rsidRDefault="009D4A9C" w:rsidP="009D4A9C">
      <w:pPr>
        <w:pStyle w:val="ListParagraph"/>
        <w:numPr>
          <w:ilvl w:val="1"/>
          <w:numId w:val="13"/>
        </w:numPr>
        <w:ind w:left="680" w:hanging="340"/>
      </w:pPr>
      <w:r>
        <w:t>And these b</w:t>
      </w:r>
      <w:r w:rsidR="00FF0471" w:rsidRPr="00FF0471">
        <w:t xml:space="preserve">enefits </w:t>
      </w:r>
      <w:r>
        <w:t xml:space="preserve">are </w:t>
      </w:r>
      <w:r w:rsidR="00FF0471" w:rsidRPr="00FF0471">
        <w:t>likely to be structural</w:t>
      </w:r>
      <w:r>
        <w:t xml:space="preserve"> </w:t>
      </w:r>
    </w:p>
    <w:p w:rsidR="00D77CF0" w:rsidRPr="00CF302C" w:rsidRDefault="009D4A9C" w:rsidP="009D4A9C">
      <w:pPr>
        <w:pStyle w:val="ListParagraph"/>
      </w:pPr>
      <w:r>
        <w:t>However, there are also c</w:t>
      </w:r>
      <w:r w:rsidR="00D77CF0" w:rsidRPr="00CF302C">
        <w:t xml:space="preserve">oncerns with </w:t>
      </w:r>
      <w:r>
        <w:t>market transparency</w:t>
      </w:r>
      <w:r w:rsidR="00747747">
        <w:t xml:space="preserve">, mainly regarding costs and the confidentiality of the information </w:t>
      </w:r>
      <w:r>
        <w:t xml:space="preserve">: </w:t>
      </w:r>
    </w:p>
    <w:p w:rsidR="00D77CF0" w:rsidRDefault="00B775F3" w:rsidP="009D4A9C">
      <w:pPr>
        <w:pStyle w:val="Heading1"/>
      </w:pPr>
      <w:r w:rsidRPr="00CF302C">
        <w:t>Costs to public administrations (</w:t>
      </w:r>
      <w:r w:rsidR="009D4A9C">
        <w:t>slide 1</w:t>
      </w:r>
      <w:r w:rsidRPr="00CF302C">
        <w:t>2)</w:t>
      </w:r>
    </w:p>
    <w:p w:rsidR="00721D41" w:rsidRDefault="00721D41" w:rsidP="00CF302C">
      <w:pPr>
        <w:pStyle w:val="ListParagraph"/>
      </w:pPr>
      <w:r>
        <w:t xml:space="preserve">Wageningen University has done a study on the costs </w:t>
      </w:r>
      <w:r w:rsidR="00EF6C8B">
        <w:t xml:space="preserve">of market information systems </w:t>
      </w:r>
      <w:r>
        <w:t xml:space="preserve">to public administrations, based on questionnaires and interviews </w:t>
      </w:r>
    </w:p>
    <w:p w:rsidR="009D1928" w:rsidRPr="00CF302C" w:rsidRDefault="00721D41" w:rsidP="00B33688">
      <w:pPr>
        <w:pStyle w:val="ListParagraph"/>
      </w:pPr>
      <w:r>
        <w:t xml:space="preserve">There was a lot of </w:t>
      </w:r>
      <w:r w:rsidR="00B775F3" w:rsidRPr="00CF302C">
        <w:t xml:space="preserve">heterogeneity, but </w:t>
      </w:r>
      <w:r>
        <w:t>the trends suggest that costs increase</w:t>
      </w:r>
      <w:r w:rsidR="00B04ACE" w:rsidRPr="00CF302C">
        <w:t xml:space="preserve"> </w:t>
      </w:r>
      <w:r>
        <w:t xml:space="preserve">the more stages of the chain and types of data are covered </w:t>
      </w:r>
    </w:p>
    <w:p w:rsidR="00721D41" w:rsidRPr="00721D41" w:rsidRDefault="00721D41" w:rsidP="00721D41">
      <w:pPr>
        <w:pStyle w:val="ListParagraph"/>
      </w:pPr>
      <w:r>
        <w:t xml:space="preserve">Roughly the costs per sector </w:t>
      </w:r>
      <w:r w:rsidR="00EF6C8B">
        <w:t>and</w:t>
      </w:r>
      <w:r>
        <w:t xml:space="preserve"> product are </w:t>
      </w:r>
      <w:r w:rsidRPr="00721D41">
        <w:t xml:space="preserve">2,000 </w:t>
      </w:r>
      <w:r>
        <w:t xml:space="preserve">to </w:t>
      </w:r>
      <w:r w:rsidRPr="00721D41">
        <w:t>80,000</w:t>
      </w:r>
      <w:r>
        <w:t xml:space="preserve"> </w:t>
      </w:r>
      <w:r w:rsidR="00493015">
        <w:t>EUR</w:t>
      </w:r>
      <w:r>
        <w:t xml:space="preserve"> per year</w:t>
      </w:r>
    </w:p>
    <w:p w:rsidR="00B775F3" w:rsidRPr="00CF302C" w:rsidRDefault="00B775F3" w:rsidP="00721D41">
      <w:pPr>
        <w:pStyle w:val="Heading1"/>
      </w:pPr>
      <w:r w:rsidRPr="00CF302C">
        <w:t>Costs to operators (</w:t>
      </w:r>
      <w:r w:rsidR="00721D41">
        <w:t>slide 1</w:t>
      </w:r>
      <w:r w:rsidRPr="00CF302C">
        <w:t>3)</w:t>
      </w:r>
      <w:r w:rsidR="00721D41">
        <w:t xml:space="preserve"> </w:t>
      </w:r>
    </w:p>
    <w:p w:rsidR="00493015" w:rsidRDefault="00493015" w:rsidP="00CF302C">
      <w:pPr>
        <w:pStyle w:val="ListParagraph"/>
      </w:pPr>
      <w:r>
        <w:t xml:space="preserve">On the side of the operators, the JRC is currently finalising a study on costs </w:t>
      </w:r>
    </w:p>
    <w:p w:rsidR="009D1928" w:rsidRPr="00CF302C" w:rsidRDefault="00493015" w:rsidP="00E24558">
      <w:pPr>
        <w:pStyle w:val="ListParagraph"/>
      </w:pPr>
      <w:r>
        <w:t>The results are limited by the responses the JRC received with cost estimates, and c</w:t>
      </w:r>
      <w:r w:rsidR="00B04ACE" w:rsidRPr="00CF302C">
        <w:t>osts are typically greater for large organisations</w:t>
      </w:r>
      <w:r>
        <w:t xml:space="preserve">, but: </w:t>
      </w:r>
      <w:r w:rsidR="00B04ACE" w:rsidRPr="00CF302C">
        <w:t xml:space="preserve"> </w:t>
      </w:r>
    </w:p>
    <w:p w:rsidR="00EF6C8B" w:rsidRDefault="00493015" w:rsidP="00CF302C">
      <w:pPr>
        <w:pStyle w:val="ListParagraph"/>
      </w:pPr>
      <w:r>
        <w:t>In most cases the additional reporting is expected to cost less than 10,000 EUR</w:t>
      </w:r>
      <w:r w:rsidR="00EF6C8B">
        <w:t xml:space="preserve"> for setting up or expanding the system and for running</w:t>
      </w:r>
      <w:r>
        <w:t xml:space="preserve"> </w:t>
      </w:r>
      <w:r w:rsidR="00EF6C8B">
        <w:t xml:space="preserve">it </w:t>
      </w:r>
    </w:p>
    <w:p w:rsidR="006E0E23" w:rsidRPr="00CF302C" w:rsidRDefault="00EF6C8B" w:rsidP="00CF302C">
      <w:pPr>
        <w:pStyle w:val="ListParagraph"/>
      </w:pPr>
      <w:r>
        <w:t>E</w:t>
      </w:r>
      <w:r w:rsidR="00493015">
        <w:t xml:space="preserve">ven those costs fall further if the reporting is limited to prices </w:t>
      </w:r>
    </w:p>
    <w:p w:rsidR="00D77CF0" w:rsidRPr="00CF302C" w:rsidRDefault="00D77CF0" w:rsidP="00410B94">
      <w:pPr>
        <w:pStyle w:val="Heading1"/>
      </w:pPr>
      <w:r w:rsidRPr="00CF302C">
        <w:t>C</w:t>
      </w:r>
      <w:r w:rsidR="006E0E23" w:rsidRPr="00CF302C">
        <w:t>onfidentiality and c</w:t>
      </w:r>
      <w:r w:rsidRPr="00CF302C">
        <w:t xml:space="preserve">ompetition </w:t>
      </w:r>
      <w:r w:rsidR="00B775F3" w:rsidRPr="00CF302C">
        <w:t>(</w:t>
      </w:r>
      <w:r w:rsidR="00721D41">
        <w:t>slide 1</w:t>
      </w:r>
      <w:r w:rsidR="00B775F3" w:rsidRPr="00CF302C">
        <w:t>4)</w:t>
      </w:r>
      <w:r w:rsidR="00721D41">
        <w:t xml:space="preserve"> </w:t>
      </w:r>
    </w:p>
    <w:p w:rsidR="00D77CF0" w:rsidRPr="00CF302C" w:rsidRDefault="00747747" w:rsidP="00410B94">
      <w:pPr>
        <w:pStyle w:val="ListParagraph"/>
        <w:keepNext/>
      </w:pPr>
      <w:r>
        <w:t xml:space="preserve">For confidentiality, the </w:t>
      </w:r>
      <w:r w:rsidR="00D77CF0" w:rsidRPr="00CF302C">
        <w:t>key is not to be able to identify individual operators</w:t>
      </w:r>
      <w:r>
        <w:t xml:space="preserve"> </w:t>
      </w:r>
    </w:p>
    <w:p w:rsidR="00D77CF0" w:rsidRPr="00CF302C" w:rsidRDefault="00747747" w:rsidP="00410B94">
      <w:pPr>
        <w:pStyle w:val="ListParagraph"/>
        <w:keepNext/>
      </w:pPr>
      <w:r>
        <w:t xml:space="preserve">This is already addressed in </w:t>
      </w:r>
      <w:r w:rsidR="00D77CF0" w:rsidRPr="00CF302C">
        <w:t>Implementing Reg</w:t>
      </w:r>
      <w:r>
        <w:t>ulation (EU) 2017/</w:t>
      </w:r>
      <w:r w:rsidR="00D77CF0" w:rsidRPr="00CF302C">
        <w:t>11</w:t>
      </w:r>
      <w:r>
        <w:t xml:space="preserve">85, as you can see on the screen </w:t>
      </w:r>
    </w:p>
    <w:p w:rsidR="009A16E3" w:rsidRDefault="009A16E3" w:rsidP="00410B94">
      <w:pPr>
        <w:pStyle w:val="ListParagraph"/>
        <w:keepNext/>
      </w:pPr>
      <w:r>
        <w:t xml:space="preserve">On the other hand, </w:t>
      </w:r>
      <w:r w:rsidR="00747747">
        <w:t>at least big</w:t>
      </w:r>
      <w:r>
        <w:t xml:space="preserve">ger players already can have access – at least to some extent – </w:t>
      </w:r>
      <w:r w:rsidR="00747747">
        <w:t>to</w:t>
      </w:r>
      <w:r>
        <w:t xml:space="preserve"> </w:t>
      </w:r>
      <w:r w:rsidR="00747747">
        <w:t xml:space="preserve">similar data from private market intelligence companies </w:t>
      </w:r>
    </w:p>
    <w:p w:rsidR="009A16E3" w:rsidRDefault="009A16E3" w:rsidP="00747747">
      <w:pPr>
        <w:pStyle w:val="ListParagraph"/>
      </w:pPr>
      <w:r>
        <w:t xml:space="preserve">Making this data publicly available not only levels the playing field in this regard, it also allows competent authorities to be able to better spot irregularities </w:t>
      </w:r>
    </w:p>
    <w:p w:rsidR="006E0E23" w:rsidRPr="00CF302C" w:rsidRDefault="009A16E3" w:rsidP="00156F08">
      <w:pPr>
        <w:pStyle w:val="ListParagraph"/>
      </w:pPr>
      <w:r>
        <w:t xml:space="preserve">Because for instance collusion is more of a structural problem that needs to be addressed by competition authorities than a problem of market transparency </w:t>
      </w:r>
    </w:p>
    <w:p w:rsidR="00D77CF0" w:rsidRPr="00CF302C" w:rsidRDefault="006E0E23" w:rsidP="00721D41">
      <w:pPr>
        <w:pStyle w:val="Heading1"/>
      </w:pPr>
      <w:r w:rsidRPr="00CF302C">
        <w:lastRenderedPageBreak/>
        <w:t>Conclusions - N</w:t>
      </w:r>
      <w:r w:rsidR="00D77CF0" w:rsidRPr="00CF302C">
        <w:t>ext steps</w:t>
      </w:r>
      <w:r w:rsidR="00721D41">
        <w:t xml:space="preserve"> (slide 1</w:t>
      </w:r>
      <w:r w:rsidRPr="00CF302C">
        <w:t>5)</w:t>
      </w:r>
    </w:p>
    <w:p w:rsidR="00410B94" w:rsidRPr="00410B94" w:rsidRDefault="00410B94" w:rsidP="00410B94">
      <w:pPr>
        <w:pStyle w:val="ListParagraph"/>
      </w:pPr>
      <w:r w:rsidRPr="00410B94">
        <w:t xml:space="preserve">There is support to extend the collection and publication </w:t>
      </w:r>
      <w:r>
        <w:t xml:space="preserve">of market data </w:t>
      </w:r>
      <w:r w:rsidRPr="00410B94">
        <w:rPr>
          <w:i/>
        </w:rPr>
        <w:t>as long as</w:t>
      </w:r>
      <w:r w:rsidRPr="00410B94">
        <w:t xml:space="preserve"> the: </w:t>
      </w:r>
    </w:p>
    <w:p w:rsidR="00410B94" w:rsidRPr="00410B94" w:rsidRDefault="00410B94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410B94">
        <w:t>system is not too costly</w:t>
      </w:r>
    </w:p>
    <w:p w:rsidR="00410B94" w:rsidRPr="00410B94" w:rsidRDefault="00410B94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410B94">
        <w:t xml:space="preserve">publication raises no new competition concerns </w:t>
      </w:r>
    </w:p>
    <w:p w:rsidR="00410B94" w:rsidRPr="00410B94" w:rsidRDefault="00410B94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410B94">
        <w:t xml:space="preserve">reporting is targeted on key products only </w:t>
      </w:r>
    </w:p>
    <w:p w:rsidR="00410B94" w:rsidRPr="00410B94" w:rsidRDefault="00410B94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410B94">
        <w:t xml:space="preserve">data are of good quality </w:t>
      </w:r>
      <w:r>
        <w:t xml:space="preserve">and </w:t>
      </w:r>
      <w:r w:rsidRPr="00410B94">
        <w:t xml:space="preserve">published in a timely manner </w:t>
      </w:r>
    </w:p>
    <w:p w:rsidR="006E0E23" w:rsidRPr="00CF302C" w:rsidRDefault="00410B94" w:rsidP="00497722">
      <w:pPr>
        <w:pStyle w:val="ListParagraph"/>
        <w:numPr>
          <w:ilvl w:val="1"/>
          <w:numId w:val="13"/>
        </w:numPr>
        <w:spacing w:before="100"/>
        <w:ind w:left="680" w:hanging="340"/>
      </w:pPr>
      <w:r w:rsidRPr="00410B94">
        <w:t xml:space="preserve">information contributes to </w:t>
      </w:r>
      <w:r w:rsidR="00EF6C8B">
        <w:t>understand</w:t>
      </w:r>
      <w:r w:rsidRPr="00410B94">
        <w:t xml:space="preserve"> structural issues in the chain </w:t>
      </w:r>
      <w:r w:rsidR="00EF6C8B">
        <w:t xml:space="preserve">better </w:t>
      </w:r>
    </w:p>
    <w:p w:rsidR="00D77CF0" w:rsidRPr="00CF302C" w:rsidRDefault="00AF5CBF" w:rsidP="00AF5CBF">
      <w:pPr>
        <w:pStyle w:val="ListParagraph"/>
      </w:pPr>
      <w:r>
        <w:t xml:space="preserve">The next step is to </w:t>
      </w:r>
      <w:r w:rsidR="00D77CF0" w:rsidRPr="00CF302C">
        <w:t xml:space="preserve">review the existing Implementing </w:t>
      </w:r>
      <w:r>
        <w:t>A</w:t>
      </w:r>
      <w:r w:rsidR="00D77CF0" w:rsidRPr="00CF302C">
        <w:t>ct</w:t>
      </w:r>
      <w:r>
        <w:t xml:space="preserve"> (2017/</w:t>
      </w:r>
      <w:r w:rsidRPr="00CF302C">
        <w:t>11</w:t>
      </w:r>
      <w:r>
        <w:t xml:space="preserve">85) – or rather its Annexes – to </w:t>
      </w:r>
      <w:r w:rsidR="00D77CF0" w:rsidRPr="00CF302C">
        <w:t xml:space="preserve">increase </w:t>
      </w:r>
      <w:r>
        <w:t xml:space="preserve">market </w:t>
      </w:r>
      <w:r w:rsidR="00D77CF0" w:rsidRPr="00CF302C">
        <w:t xml:space="preserve">transparency </w:t>
      </w:r>
      <w:r>
        <w:t xml:space="preserve">for </w:t>
      </w:r>
      <w:r w:rsidR="00D77CF0" w:rsidRPr="00CF302C">
        <w:t>key sectors and products</w:t>
      </w:r>
      <w:r>
        <w:t xml:space="preserve"> </w:t>
      </w:r>
    </w:p>
    <w:p w:rsidR="00D77CF0" w:rsidRPr="00CF302C" w:rsidRDefault="00AF5CBF" w:rsidP="00AF5CBF">
      <w:pPr>
        <w:pStyle w:val="ListParagraph"/>
      </w:pPr>
      <w:r>
        <w:t>Then, b</w:t>
      </w:r>
      <w:r w:rsidR="00D77CF0" w:rsidRPr="00CF302C">
        <w:t xml:space="preserve">efore </w:t>
      </w:r>
      <w:r>
        <w:t xml:space="preserve">the </w:t>
      </w:r>
      <w:r w:rsidR="00D77CF0" w:rsidRPr="00CF302C">
        <w:t xml:space="preserve">act </w:t>
      </w:r>
      <w:r>
        <w:t xml:space="preserve">can be </w:t>
      </w:r>
      <w:r w:rsidR="00D77CF0" w:rsidRPr="00CF302C">
        <w:t>adopted</w:t>
      </w:r>
      <w:r>
        <w:t>,</w:t>
      </w:r>
      <w:r w:rsidR="00D77CF0" w:rsidRPr="00CF302C">
        <w:t xml:space="preserve"> there is a </w:t>
      </w:r>
      <w:r>
        <w:t>four-</w:t>
      </w:r>
      <w:r w:rsidR="00D77CF0" w:rsidRPr="00CF302C">
        <w:t xml:space="preserve">week </w:t>
      </w:r>
      <w:r w:rsidRPr="00AF5CBF">
        <w:rPr>
          <w:i/>
        </w:rPr>
        <w:t>consultation </w:t>
      </w:r>
      <w:r w:rsidR="00D77CF0" w:rsidRPr="00AF5CBF">
        <w:rPr>
          <w:i/>
        </w:rPr>
        <w:t>period</w:t>
      </w:r>
      <w:r w:rsidRPr="00AF5CBF">
        <w:rPr>
          <w:i/>
        </w:rPr>
        <w:t> </w:t>
      </w:r>
      <w:r w:rsidR="00D77CF0" w:rsidRPr="00AF5CBF">
        <w:rPr>
          <w:i/>
        </w:rPr>
        <w:t>with stakeholders</w:t>
      </w:r>
      <w:r w:rsidR="00D77CF0" w:rsidRPr="00CF302C">
        <w:t xml:space="preserve"> on the proposed legal text</w:t>
      </w:r>
      <w:r>
        <w:t xml:space="preserve"> </w:t>
      </w:r>
    </w:p>
    <w:p w:rsidR="00D77CF0" w:rsidRPr="00AF5CBF" w:rsidRDefault="00AF5CBF" w:rsidP="00AF5CBF">
      <w:pPr>
        <w:pStyle w:val="ListParagraph"/>
      </w:pPr>
      <w:r>
        <w:t xml:space="preserve">But we </w:t>
      </w:r>
      <w:r w:rsidR="00D77CF0" w:rsidRPr="00AF5CBF">
        <w:t xml:space="preserve">expect </w:t>
      </w:r>
      <w:r>
        <w:t xml:space="preserve">to finalise the </w:t>
      </w:r>
      <w:r w:rsidR="009B67F5" w:rsidRPr="00AF5CBF">
        <w:t xml:space="preserve">process </w:t>
      </w:r>
      <w:r w:rsidR="00D77CF0" w:rsidRPr="00AF5CBF">
        <w:t xml:space="preserve">before summer </w:t>
      </w:r>
    </w:p>
    <w:p w:rsidR="00670B05" w:rsidRDefault="00670B05" w:rsidP="004D4419">
      <w:pPr>
        <w:pStyle w:val="Heading1"/>
      </w:pPr>
      <w:r>
        <w:t xml:space="preserve">Thank you! (slide 16) </w:t>
      </w:r>
    </w:p>
    <w:p w:rsidR="008B62E0" w:rsidRDefault="008B62E0" w:rsidP="008B62E0"/>
    <w:p w:rsidR="00DC47F4" w:rsidRDefault="00DC47F4" w:rsidP="008B62E0"/>
    <w:p w:rsidR="00DC47F4" w:rsidRDefault="00DC47F4" w:rsidP="008B62E0"/>
    <w:p w:rsidR="00A912E2" w:rsidRDefault="00A912E2" w:rsidP="008B62E0"/>
    <w:p w:rsidR="00A912E2" w:rsidRDefault="00A912E2" w:rsidP="008B62E0"/>
    <w:p w:rsidR="0058711F" w:rsidRDefault="0058711F" w:rsidP="008B62E0"/>
    <w:p w:rsidR="0058711F" w:rsidRDefault="0058711F" w:rsidP="008B62E0"/>
    <w:p w:rsidR="0058711F" w:rsidRDefault="0058711F" w:rsidP="008B62E0"/>
    <w:p w:rsidR="00A912E2" w:rsidRPr="008B62E0" w:rsidRDefault="00A912E2" w:rsidP="008B62E0"/>
    <w:p w:rsidR="004D4419" w:rsidRDefault="00AA1BC7" w:rsidP="004D4419">
      <w:pPr>
        <w:pStyle w:val="Heading1"/>
      </w:pPr>
      <w:r>
        <w:t>Background and d</w:t>
      </w:r>
      <w:r w:rsidR="004D4419">
        <w:t xml:space="preserve">efensives </w:t>
      </w:r>
    </w:p>
    <w:p w:rsidR="004D4419" w:rsidRDefault="004D4419" w:rsidP="0055627A">
      <w:pPr>
        <w:keepLines/>
      </w:pPr>
      <w:r>
        <w:t xml:space="preserve">The </w:t>
      </w:r>
      <w:r w:rsidRPr="001E3E40">
        <w:t>food</w:t>
      </w:r>
      <w:r w:rsidRPr="007E4A09">
        <w:rPr>
          <w:b/>
        </w:rPr>
        <w:t xml:space="preserve"> industry</w:t>
      </w:r>
      <w:r>
        <w:t xml:space="preserve"> is opposing further legislation on market transparency. The over</w:t>
      </w:r>
      <w:r w:rsidR="00197C59">
        <w:softHyphen/>
      </w:r>
      <w:r>
        <w:t xml:space="preserve">arching argument is that existing data is sufficient and efforts should be focused on </w:t>
      </w:r>
      <w:r w:rsidRPr="00262AD1">
        <w:rPr>
          <w:u w:val="single"/>
        </w:rPr>
        <w:t>making better use of this data</w:t>
      </w:r>
      <w:r>
        <w:t xml:space="preserve">. </w:t>
      </w:r>
      <w:r w:rsidR="00197C59">
        <w:t>T</w:t>
      </w:r>
      <w:r>
        <w:t xml:space="preserve">his argument </w:t>
      </w:r>
      <w:r w:rsidR="00197C59">
        <w:t xml:space="preserve">is </w:t>
      </w:r>
      <w:r>
        <w:t xml:space="preserve">valid </w:t>
      </w:r>
      <w:r w:rsidR="00197C59">
        <w:t xml:space="preserve">to the extent that </w:t>
      </w:r>
      <w:r>
        <w:t xml:space="preserve">there are significant amounts of relevant data available at Member State level. One possible approach would </w:t>
      </w:r>
      <w:r w:rsidR="00197C59">
        <w:t xml:space="preserve">therefore be to </w:t>
      </w:r>
      <w:r>
        <w:t xml:space="preserve">collect this information and report it at </w:t>
      </w:r>
      <w:r w:rsidR="00197C59">
        <w:t xml:space="preserve">EU level. </w:t>
      </w:r>
      <w:r w:rsidR="0055627A">
        <w:t>A</w:t>
      </w:r>
      <w:r w:rsidR="00197C59">
        <w:t> </w:t>
      </w:r>
      <w:r>
        <w:t xml:space="preserve">pedagogic approach is </w:t>
      </w:r>
      <w:r w:rsidR="00197C59">
        <w:t>needed</w:t>
      </w:r>
      <w:r>
        <w:t xml:space="preserve"> to address this concern. In addition, under the current legal acts</w:t>
      </w:r>
      <w:r w:rsidR="00197C59">
        <w:t xml:space="preserve"> some </w:t>
      </w:r>
      <w:r>
        <w:t xml:space="preserve">data </w:t>
      </w:r>
      <w:r w:rsidR="00197C59">
        <w:t xml:space="preserve">is already </w:t>
      </w:r>
      <w:r>
        <w:t>collected directly from the food industry (</w:t>
      </w:r>
      <w:r w:rsidR="00197C59">
        <w:t>in </w:t>
      </w:r>
      <w:r>
        <w:t>particular from the meat and dairy sectors).</w:t>
      </w:r>
      <w:r w:rsidR="00197C59">
        <w:t xml:space="preserve"> </w:t>
      </w:r>
    </w:p>
    <w:p w:rsidR="004D4419" w:rsidRDefault="004D4419" w:rsidP="004D4419">
      <w:r>
        <w:lastRenderedPageBreak/>
        <w:t xml:space="preserve">Specific </w:t>
      </w:r>
      <w:r w:rsidRPr="00AA1BC7">
        <w:rPr>
          <w:u w:val="single"/>
        </w:rPr>
        <w:t>objections</w:t>
      </w:r>
      <w:r>
        <w:t xml:space="preserve"> of the food industry to increased market transparency include:</w:t>
      </w:r>
    </w:p>
    <w:p w:rsidR="004D4419" w:rsidRDefault="00262AD1" w:rsidP="00DC47F4">
      <w:pPr>
        <w:pStyle w:val="ListParagraph"/>
        <w:keepNext/>
        <w:ind w:left="357" w:hanging="357"/>
      </w:pPr>
      <w:r>
        <w:t>I</w:t>
      </w:r>
      <w:r w:rsidR="004D4419">
        <w:t xml:space="preserve">ncreased market transparency may facilitate </w:t>
      </w:r>
      <w:r w:rsidR="004D4419" w:rsidRPr="00262AD1">
        <w:rPr>
          <w:u w:val="single"/>
        </w:rPr>
        <w:t>anti-competitive practices</w:t>
      </w:r>
      <w:r>
        <w:t>.</w:t>
      </w:r>
    </w:p>
    <w:p w:rsidR="004D4419" w:rsidRDefault="00262AD1" w:rsidP="00DC47F4">
      <w:pPr>
        <w:keepNext/>
        <w:keepLines/>
        <w:ind w:left="357"/>
      </w:pPr>
      <w:r>
        <w:t xml:space="preserve">&gt;&gt; There is only a concern about anti-competitive effects when and </w:t>
      </w:r>
      <w:r w:rsidR="004D4419">
        <w:t xml:space="preserve">where operators can </w:t>
      </w:r>
      <w:r>
        <w:t xml:space="preserve">identify prices from </w:t>
      </w:r>
      <w:r w:rsidR="004D4419">
        <w:t xml:space="preserve">individual </w:t>
      </w:r>
      <w:r>
        <w:t xml:space="preserve">companies – but </w:t>
      </w:r>
      <w:r w:rsidR="004D4419">
        <w:t xml:space="preserve">existing legislation </w:t>
      </w:r>
      <w:r>
        <w:t xml:space="preserve">already </w:t>
      </w:r>
      <w:r w:rsidR="004D4419">
        <w:t>address</w:t>
      </w:r>
      <w:r>
        <w:t>es</w:t>
      </w:r>
      <w:r w:rsidR="004D4419">
        <w:t xml:space="preserve"> this concern (Regulations 1308/2013 and 2017/1185)</w:t>
      </w:r>
      <w:r>
        <w:t xml:space="preserve"> by stipulating that </w:t>
      </w:r>
      <w:r w:rsidR="004D4419" w:rsidRPr="00262AD1">
        <w:rPr>
          <w:u w:val="single"/>
        </w:rPr>
        <w:t>data has to be published in a sufficiently aggregated form</w:t>
      </w:r>
      <w:r w:rsidR="004D4419">
        <w:t>.</w:t>
      </w:r>
      <w:r>
        <w:t xml:space="preserve"> </w:t>
      </w:r>
    </w:p>
    <w:p w:rsidR="004D4419" w:rsidRDefault="00262AD1" w:rsidP="007E4A09">
      <w:pPr>
        <w:pStyle w:val="ListParagraph"/>
      </w:pPr>
      <w:r>
        <w:t>I</w:t>
      </w:r>
      <w:r w:rsidR="004D4419">
        <w:t xml:space="preserve">ncreased </w:t>
      </w:r>
      <w:r w:rsidR="004D4419" w:rsidRPr="001E3E40">
        <w:rPr>
          <w:u w:val="single"/>
        </w:rPr>
        <w:t>transparency is not only about prices</w:t>
      </w:r>
      <w:r w:rsidR="004D4419">
        <w:t>, but also abo</w:t>
      </w:r>
      <w:r w:rsidR="001E3E40">
        <w:t xml:space="preserve">ut other aspects, such as </w:t>
      </w:r>
      <w:r w:rsidR="004D4419">
        <w:t>production levels, stocks, trade, consumption, contract types and the str</w:t>
      </w:r>
      <w:r w:rsidR="001E3E40">
        <w:t xml:space="preserve">ucture of the food supply chain. </w:t>
      </w:r>
    </w:p>
    <w:p w:rsidR="004D4419" w:rsidRDefault="001E3E40" w:rsidP="007E4A09">
      <w:pPr>
        <w:ind w:left="360"/>
      </w:pPr>
      <w:r>
        <w:t xml:space="preserve">&gt;&gt; </w:t>
      </w:r>
      <w:r w:rsidR="004D4419">
        <w:t xml:space="preserve">AGRI agrees, but this is </w:t>
      </w:r>
      <w:r w:rsidR="004D4419" w:rsidRPr="001E3E40">
        <w:rPr>
          <w:u w:val="single"/>
        </w:rPr>
        <w:t>an argument to go even beyond price transparency</w:t>
      </w:r>
      <w:r>
        <w:t xml:space="preserve">, </w:t>
      </w:r>
      <w:r w:rsidR="004D4419">
        <w:t>rather than an argument against price transparency itself. While price</w:t>
      </w:r>
      <w:r>
        <w:t>s</w:t>
      </w:r>
      <w:r w:rsidR="004D4419">
        <w:t xml:space="preserve"> may not be enough to fully characterise </w:t>
      </w:r>
      <w:r>
        <w:t xml:space="preserve">a </w:t>
      </w:r>
      <w:r w:rsidR="004D4419">
        <w:t xml:space="preserve">market, </w:t>
      </w:r>
      <w:r>
        <w:t>they provide</w:t>
      </w:r>
      <w:r w:rsidR="004D4419">
        <w:t xml:space="preserve"> useful information to operators, in particular information on price changes and trends that can </w:t>
      </w:r>
      <w:r w:rsidR="004D4419" w:rsidRPr="001E3E40">
        <w:rPr>
          <w:u w:val="single"/>
        </w:rPr>
        <w:t>help producers make better production and investment decisions</w:t>
      </w:r>
      <w:r>
        <w:t>. Knowing prices is a </w:t>
      </w:r>
      <w:r w:rsidR="004D4419">
        <w:t xml:space="preserve">necessary step </w:t>
      </w:r>
      <w:r>
        <w:t xml:space="preserve">for any market </w:t>
      </w:r>
      <w:r w:rsidR="004D4419">
        <w:t>analysis.</w:t>
      </w:r>
      <w:r>
        <w:t xml:space="preserve"> </w:t>
      </w:r>
    </w:p>
    <w:p w:rsidR="004D4419" w:rsidRDefault="00DE650F" w:rsidP="007E4A09">
      <w:pPr>
        <w:pStyle w:val="ListParagraph"/>
      </w:pPr>
      <w:r>
        <w:t>I</w:t>
      </w:r>
      <w:r w:rsidR="004D4419">
        <w:t xml:space="preserve">ncreased market transparency will </w:t>
      </w:r>
      <w:r w:rsidR="004D4419" w:rsidRPr="00AA1BC7">
        <w:rPr>
          <w:u w:val="single"/>
        </w:rPr>
        <w:t xml:space="preserve">not </w:t>
      </w:r>
      <w:r w:rsidR="0055627A" w:rsidRPr="00AA1BC7">
        <w:rPr>
          <w:u w:val="single"/>
        </w:rPr>
        <w:t>balance</w:t>
      </w:r>
      <w:r w:rsidR="004D4419" w:rsidRPr="00AA1BC7">
        <w:rPr>
          <w:u w:val="single"/>
        </w:rPr>
        <w:t xml:space="preserve"> </w:t>
      </w:r>
      <w:r w:rsidR="0055627A" w:rsidRPr="00AA1BC7">
        <w:rPr>
          <w:u w:val="single"/>
        </w:rPr>
        <w:t xml:space="preserve">the </w:t>
      </w:r>
      <w:r w:rsidR="004D4419" w:rsidRPr="00AA1BC7">
        <w:rPr>
          <w:u w:val="single"/>
        </w:rPr>
        <w:t>bargaining power</w:t>
      </w:r>
      <w:r w:rsidR="004D4419">
        <w:t xml:space="preserve"> </w:t>
      </w:r>
      <w:r w:rsidR="0055627A">
        <w:t>of </w:t>
      </w:r>
      <w:r w:rsidR="004D4419">
        <w:t xml:space="preserve">agricultural producers </w:t>
      </w:r>
      <w:r w:rsidR="0055627A">
        <w:t xml:space="preserve">vis-à-vis the </w:t>
      </w:r>
      <w:r w:rsidR="004D4419">
        <w:t>buyers of their products</w:t>
      </w:r>
      <w:r w:rsidR="0055627A">
        <w:t xml:space="preserve">. </w:t>
      </w:r>
    </w:p>
    <w:p w:rsidR="004D4419" w:rsidRDefault="001E3E40" w:rsidP="007E4A09">
      <w:pPr>
        <w:ind w:left="360"/>
      </w:pPr>
      <w:r>
        <w:t xml:space="preserve">&gt;&gt; </w:t>
      </w:r>
      <w:r w:rsidR="004D4419">
        <w:t xml:space="preserve">Market transparency is </w:t>
      </w:r>
      <w:r w:rsidR="0055627A" w:rsidRPr="0055627A">
        <w:rPr>
          <w:u w:val="single"/>
        </w:rPr>
        <w:t xml:space="preserve">only one </w:t>
      </w:r>
      <w:r w:rsidR="004D4419" w:rsidRPr="0055627A">
        <w:rPr>
          <w:u w:val="single"/>
        </w:rPr>
        <w:t>part of the initiative to improve the food supply chain</w:t>
      </w:r>
      <w:r w:rsidR="00AA1BC7">
        <w:t xml:space="preserve"> – </w:t>
      </w:r>
      <w:r w:rsidR="004D4419">
        <w:t>producer</w:t>
      </w:r>
      <w:r w:rsidR="00AA1BC7">
        <w:t xml:space="preserve"> </w:t>
      </w:r>
      <w:r w:rsidR="004D4419">
        <w:t>cooperation</w:t>
      </w:r>
      <w:r w:rsidR="0055627A">
        <w:t xml:space="preserve"> and unfair trading practices have already been addressed. </w:t>
      </w:r>
      <w:r w:rsidR="004D4419">
        <w:t>Taken together</w:t>
      </w:r>
      <w:r w:rsidR="0055627A">
        <w:t>,</w:t>
      </w:r>
      <w:r w:rsidR="004D4419">
        <w:t xml:space="preserve"> the</w:t>
      </w:r>
      <w:r w:rsidR="0055627A">
        <w:t>se</w:t>
      </w:r>
      <w:r w:rsidR="004D4419">
        <w:t xml:space="preserve"> elements </w:t>
      </w:r>
      <w:r w:rsidR="0055627A">
        <w:t>will strengthen</w:t>
      </w:r>
      <w:r w:rsidR="004D4419">
        <w:t xml:space="preserve"> the position of farmers in chain. In any case, in negotiation</w:t>
      </w:r>
      <w:r w:rsidR="0055627A">
        <w:t>s</w:t>
      </w:r>
      <w:r w:rsidR="004D4419">
        <w:t xml:space="preserve"> where both parties are </w:t>
      </w:r>
      <w:r w:rsidR="004D4419" w:rsidRPr="0055627A">
        <w:rPr>
          <w:u w:val="single"/>
        </w:rPr>
        <w:t>more equally informed</w:t>
      </w:r>
      <w:r w:rsidR="004D4419">
        <w:t xml:space="preserve"> is a situation where bargaining power </w:t>
      </w:r>
      <w:r w:rsidR="0055627A">
        <w:t xml:space="preserve">is also more balanced. </w:t>
      </w:r>
    </w:p>
    <w:p w:rsidR="004D4419" w:rsidRDefault="0055627A" w:rsidP="007E4A09">
      <w:pPr>
        <w:pStyle w:val="ListParagraph"/>
      </w:pPr>
      <w:r>
        <w:t>R</w:t>
      </w:r>
      <w:r w:rsidR="004D4419">
        <w:t xml:space="preserve">eporting </w:t>
      </w:r>
      <w:r>
        <w:t xml:space="preserve">will </w:t>
      </w:r>
      <w:r w:rsidR="004D4419">
        <w:t xml:space="preserve">be </w:t>
      </w:r>
      <w:r w:rsidR="004D4419" w:rsidRPr="00AA1BC7">
        <w:rPr>
          <w:u w:val="single"/>
        </w:rPr>
        <w:t>excessively complex</w:t>
      </w:r>
      <w:r w:rsidR="004D4419">
        <w:t xml:space="preserve"> given the range of products</w:t>
      </w:r>
      <w:r>
        <w:t xml:space="preserve">. </w:t>
      </w:r>
    </w:p>
    <w:p w:rsidR="004D4419" w:rsidRDefault="001E3E40" w:rsidP="007E4A09">
      <w:pPr>
        <w:ind w:left="360"/>
      </w:pPr>
      <w:r>
        <w:t xml:space="preserve">&gt;&gt; </w:t>
      </w:r>
      <w:r w:rsidR="00AA1BC7">
        <w:rPr>
          <w:u w:val="single"/>
        </w:rPr>
        <w:t>O</w:t>
      </w:r>
      <w:r w:rsidR="004D4419" w:rsidRPr="00E77866">
        <w:rPr>
          <w:u w:val="single"/>
        </w:rPr>
        <w:t xml:space="preserve">nly a few key products </w:t>
      </w:r>
      <w:r w:rsidR="00E77866" w:rsidRPr="00E77866">
        <w:rPr>
          <w:u w:val="single"/>
        </w:rPr>
        <w:t>are targeted</w:t>
      </w:r>
      <w:r w:rsidR="00E77866">
        <w:t xml:space="preserve"> </w:t>
      </w:r>
      <w:r w:rsidR="004D4419">
        <w:t xml:space="preserve">that are important for understanding the market </w:t>
      </w:r>
      <w:r w:rsidR="00E77866">
        <w:t xml:space="preserve">– </w:t>
      </w:r>
      <w:r w:rsidR="004D4419">
        <w:t>and</w:t>
      </w:r>
      <w:r w:rsidR="00E77866">
        <w:t xml:space="preserve"> </w:t>
      </w:r>
      <w:r w:rsidR="004D4419">
        <w:t xml:space="preserve">much of this </w:t>
      </w:r>
      <w:r w:rsidR="004D4419" w:rsidRPr="00E77866">
        <w:rPr>
          <w:u w:val="single"/>
        </w:rPr>
        <w:t>information already exists at Member State level</w:t>
      </w:r>
      <w:r w:rsidR="004D4419">
        <w:t>.</w:t>
      </w:r>
      <w:r w:rsidR="00E77866">
        <w:t xml:space="preserve"> </w:t>
      </w:r>
    </w:p>
    <w:p w:rsidR="004D4419" w:rsidRDefault="00422582" w:rsidP="00AA1BC7">
      <w:pPr>
        <w:pStyle w:val="ListParagraph"/>
        <w:keepNext/>
        <w:ind w:left="357" w:hanging="357"/>
      </w:pPr>
      <w:r>
        <w:t>R</w:t>
      </w:r>
      <w:r w:rsidR="004D4419">
        <w:t xml:space="preserve">eporting </w:t>
      </w:r>
      <w:r>
        <w:t xml:space="preserve">will be </w:t>
      </w:r>
      <w:r w:rsidRPr="00AA1BC7">
        <w:rPr>
          <w:u w:val="single"/>
        </w:rPr>
        <w:t>excessively costly</w:t>
      </w:r>
      <w:r>
        <w:t xml:space="preserve">. </w:t>
      </w:r>
    </w:p>
    <w:p w:rsidR="004D4419" w:rsidRDefault="001E3E40" w:rsidP="007E4A09">
      <w:pPr>
        <w:ind w:left="360"/>
      </w:pPr>
      <w:r>
        <w:t xml:space="preserve">&gt;&gt; </w:t>
      </w:r>
      <w:r w:rsidR="004D4419">
        <w:t xml:space="preserve">There </w:t>
      </w:r>
      <w:r w:rsidR="00422582">
        <w:t xml:space="preserve">is </w:t>
      </w:r>
      <w:r w:rsidR="00422582" w:rsidRPr="00422582">
        <w:rPr>
          <w:u w:val="single"/>
        </w:rPr>
        <w:t xml:space="preserve">already </w:t>
      </w:r>
      <w:r w:rsidR="004D4419" w:rsidRPr="00422582">
        <w:rPr>
          <w:u w:val="single"/>
        </w:rPr>
        <w:t>legislation that require</w:t>
      </w:r>
      <w:r w:rsidR="00422582" w:rsidRPr="00422582">
        <w:rPr>
          <w:u w:val="single"/>
        </w:rPr>
        <w:t>s</w:t>
      </w:r>
      <w:r w:rsidR="004D4419" w:rsidRPr="00422582">
        <w:rPr>
          <w:u w:val="single"/>
        </w:rPr>
        <w:t xml:space="preserve"> some operators to report</w:t>
      </w:r>
      <w:r w:rsidR="004D4419">
        <w:t xml:space="preserve"> market data to the Commission (via Member States). These operators have systems in place for</w:t>
      </w:r>
      <w:r w:rsidR="00422582">
        <w:t xml:space="preserve"> data collection and reporting, i.e. the cost for reporting </w:t>
      </w:r>
      <w:r w:rsidR="004D4419">
        <w:t xml:space="preserve">additional data is expected to be minimal. </w:t>
      </w:r>
      <w:r w:rsidR="00422582">
        <w:t xml:space="preserve">And a lot </w:t>
      </w:r>
      <w:r w:rsidR="004D4419">
        <w:t xml:space="preserve">of information already exists at Member State level, </w:t>
      </w:r>
      <w:r w:rsidR="00422582">
        <w:t xml:space="preserve">i.e. </w:t>
      </w:r>
      <w:r w:rsidR="004D4419">
        <w:t>bring</w:t>
      </w:r>
      <w:r w:rsidR="00422582">
        <w:t>ing</w:t>
      </w:r>
      <w:r w:rsidR="004D4419">
        <w:t xml:space="preserve"> this information to EU level would have minimal costs.</w:t>
      </w:r>
      <w:r w:rsidR="00422582">
        <w:t xml:space="preserve"> </w:t>
      </w:r>
    </w:p>
    <w:p w:rsidR="004D4419" w:rsidRDefault="00422582" w:rsidP="007E4A09">
      <w:pPr>
        <w:pStyle w:val="ListParagraph"/>
      </w:pPr>
      <w:r>
        <w:t>T</w:t>
      </w:r>
      <w:r w:rsidR="004D4419">
        <w:t xml:space="preserve">he </w:t>
      </w:r>
      <w:r w:rsidR="004D4419" w:rsidRPr="00AA1BC7">
        <w:rPr>
          <w:u w:val="single"/>
        </w:rPr>
        <w:t>situation in different Member States is very diverse</w:t>
      </w:r>
      <w:r w:rsidR="004D4419">
        <w:t xml:space="preserve"> and cannot be </w:t>
      </w:r>
      <w:r>
        <w:t xml:space="preserve">covered </w:t>
      </w:r>
      <w:r w:rsidR="004D4419">
        <w:t>by a ‘one-size-fits-a</w:t>
      </w:r>
      <w:r>
        <w:t xml:space="preserve">ll’ approach. </w:t>
      </w:r>
    </w:p>
    <w:p w:rsidR="004D4419" w:rsidRDefault="001E3E40" w:rsidP="007E4A09">
      <w:pPr>
        <w:ind w:left="360"/>
      </w:pPr>
      <w:r>
        <w:t xml:space="preserve">&gt;&gt; </w:t>
      </w:r>
      <w:r w:rsidR="00422582">
        <w:t xml:space="preserve">Such differences are a call for </w:t>
      </w:r>
      <w:r w:rsidR="00422582" w:rsidRPr="00422582">
        <w:rPr>
          <w:u w:val="single"/>
        </w:rPr>
        <w:t>increasing market</w:t>
      </w:r>
      <w:r w:rsidR="004D4419" w:rsidRPr="00422582">
        <w:rPr>
          <w:u w:val="single"/>
        </w:rPr>
        <w:t xml:space="preserve"> transparency </w:t>
      </w:r>
      <w:r w:rsidR="00422582" w:rsidRPr="00422582">
        <w:rPr>
          <w:u w:val="single"/>
        </w:rPr>
        <w:t>in a coordinated way</w:t>
      </w:r>
      <w:r w:rsidR="00422582">
        <w:t xml:space="preserve"> across Member States</w:t>
      </w:r>
      <w:r w:rsidR="004D4419">
        <w:t>.</w:t>
      </w:r>
    </w:p>
    <w:p w:rsidR="004D4419" w:rsidRDefault="000B4B03" w:rsidP="00DC47F4">
      <w:pPr>
        <w:pStyle w:val="ListParagraph"/>
        <w:keepNext/>
        <w:ind w:left="357" w:hanging="357"/>
      </w:pPr>
      <w:r w:rsidRPr="00AA1BC7">
        <w:rPr>
          <w:u w:val="single"/>
        </w:rPr>
        <w:lastRenderedPageBreak/>
        <w:t xml:space="preserve">Communicating </w:t>
      </w:r>
      <w:r w:rsidR="004D4419" w:rsidRPr="00AA1BC7">
        <w:rPr>
          <w:u w:val="single"/>
        </w:rPr>
        <w:t>the new</w:t>
      </w:r>
      <w:r w:rsidRPr="00AA1BC7">
        <w:rPr>
          <w:u w:val="single"/>
        </w:rPr>
        <w:t xml:space="preserve"> </w:t>
      </w:r>
      <w:r w:rsidR="004D4419" w:rsidRPr="00AA1BC7">
        <w:rPr>
          <w:u w:val="single"/>
        </w:rPr>
        <w:t>data may not be effective</w:t>
      </w:r>
      <w:r w:rsidR="004D4419">
        <w:t xml:space="preserve"> and </w:t>
      </w:r>
      <w:r>
        <w:t xml:space="preserve">confuse </w:t>
      </w:r>
      <w:r w:rsidR="004D4419">
        <w:t>users</w:t>
      </w:r>
      <w:r>
        <w:t xml:space="preserve">. </w:t>
      </w:r>
    </w:p>
    <w:p w:rsidR="004D4419" w:rsidRDefault="001E3E40" w:rsidP="007E4A09">
      <w:pPr>
        <w:ind w:left="360"/>
      </w:pPr>
      <w:r>
        <w:t xml:space="preserve">&gt;&gt; </w:t>
      </w:r>
      <w:r w:rsidR="000B4B03">
        <w:t xml:space="preserve">Communicating </w:t>
      </w:r>
      <w:r w:rsidR="004D4419">
        <w:t xml:space="preserve">what data means is a different issue from </w:t>
      </w:r>
      <w:r w:rsidR="000B4B03">
        <w:t xml:space="preserve">the </w:t>
      </w:r>
      <w:r w:rsidR="004D4419">
        <w:t xml:space="preserve">collection </w:t>
      </w:r>
      <w:r w:rsidR="000B4B03">
        <w:t>of data</w:t>
      </w:r>
      <w:r w:rsidR="004D4419">
        <w:t xml:space="preserve">. The way data is communicated is indeed important and the </w:t>
      </w:r>
      <w:r w:rsidR="004D4419" w:rsidRPr="000B4B03">
        <w:rPr>
          <w:u w:val="single"/>
        </w:rPr>
        <w:t xml:space="preserve">Commission has </w:t>
      </w:r>
      <w:r w:rsidR="000B4B03" w:rsidRPr="000B4B03">
        <w:rPr>
          <w:u w:val="single"/>
        </w:rPr>
        <w:t xml:space="preserve">dedicated </w:t>
      </w:r>
      <w:r w:rsidR="004D4419" w:rsidRPr="000B4B03">
        <w:rPr>
          <w:u w:val="single"/>
        </w:rPr>
        <w:t>platforms</w:t>
      </w:r>
      <w:r w:rsidR="004D4419">
        <w:t xml:space="preserve"> in place </w:t>
      </w:r>
      <w:r w:rsidR="000B4B03">
        <w:t xml:space="preserve">– which it </w:t>
      </w:r>
      <w:r w:rsidR="004D4419">
        <w:t>work</w:t>
      </w:r>
      <w:r w:rsidR="000B4B03">
        <w:t>s</w:t>
      </w:r>
      <w:r w:rsidR="004D4419">
        <w:t xml:space="preserve"> to improve</w:t>
      </w:r>
      <w:r w:rsidR="000B4B03">
        <w:t xml:space="preserve"> – </w:t>
      </w:r>
      <w:r w:rsidR="004D4419">
        <w:t>such</w:t>
      </w:r>
      <w:r w:rsidR="000B4B03">
        <w:t xml:space="preserve"> </w:t>
      </w:r>
      <w:r w:rsidR="004D4419">
        <w:t xml:space="preserve">as the dashboards, market observatories, and the </w:t>
      </w:r>
      <w:r w:rsidR="00AA1BC7">
        <w:t xml:space="preserve">agricultural markets </w:t>
      </w:r>
      <w:r w:rsidR="004D4419">
        <w:t xml:space="preserve">outlooks. </w:t>
      </w:r>
      <w:r w:rsidR="000B4B03">
        <w:t xml:space="preserve">However, </w:t>
      </w:r>
      <w:r w:rsidR="000B4B03" w:rsidRPr="000B4B03">
        <w:rPr>
          <w:u w:val="single"/>
        </w:rPr>
        <w:t>e</w:t>
      </w:r>
      <w:r w:rsidR="004D4419" w:rsidRPr="000B4B03">
        <w:rPr>
          <w:u w:val="single"/>
        </w:rPr>
        <w:t xml:space="preserve">ffective communication of data requires that </w:t>
      </w:r>
      <w:r w:rsidR="000B4B03" w:rsidRPr="000B4B03">
        <w:rPr>
          <w:u w:val="single"/>
        </w:rPr>
        <w:t xml:space="preserve">there is </w:t>
      </w:r>
      <w:r w:rsidR="004D4419" w:rsidRPr="000B4B03">
        <w:rPr>
          <w:u w:val="single"/>
        </w:rPr>
        <w:t>data</w:t>
      </w:r>
      <w:r w:rsidR="004D4419">
        <w:t xml:space="preserve"> </w:t>
      </w:r>
      <w:r w:rsidR="000B4B03">
        <w:t xml:space="preserve">that can be communicated </w:t>
      </w:r>
      <w:r w:rsidR="004D4419">
        <w:t>in the first place.</w:t>
      </w:r>
    </w:p>
    <w:p w:rsidR="004D4419" w:rsidRDefault="000B4B03" w:rsidP="007E4A09">
      <w:pPr>
        <w:pStyle w:val="ListParagraph"/>
      </w:pPr>
      <w:r>
        <w:t>I</w:t>
      </w:r>
      <w:r w:rsidR="004D4419">
        <w:t>ncreased transparency in the EU put</w:t>
      </w:r>
      <w:r>
        <w:t>s</w:t>
      </w:r>
      <w:r w:rsidR="004D4419">
        <w:t xml:space="preserve"> EU food p</w:t>
      </w:r>
      <w:r>
        <w:t>rocessors at a disadvantage vis</w:t>
      </w:r>
      <w:r>
        <w:noBreakHyphen/>
      </w:r>
      <w:r w:rsidR="004D4419">
        <w:t xml:space="preserve">à-vis </w:t>
      </w:r>
      <w:r w:rsidR="004D4419" w:rsidRPr="00AA1BC7">
        <w:rPr>
          <w:u w:val="single"/>
        </w:rPr>
        <w:t>third country competitors</w:t>
      </w:r>
      <w:r w:rsidR="004D4419">
        <w:t>.</w:t>
      </w:r>
      <w:r>
        <w:t xml:space="preserve"> </w:t>
      </w:r>
    </w:p>
    <w:p w:rsidR="004D4419" w:rsidRDefault="001E3E40" w:rsidP="007E4A09">
      <w:pPr>
        <w:ind w:left="360"/>
      </w:pPr>
      <w:r>
        <w:t xml:space="preserve">&gt;&gt; </w:t>
      </w:r>
      <w:r w:rsidR="004D4419">
        <w:t xml:space="preserve">Third country competitors </w:t>
      </w:r>
      <w:r w:rsidR="000B4B03">
        <w:t xml:space="preserve">are usually bigger enterprises that </w:t>
      </w:r>
      <w:r w:rsidR="004D4419">
        <w:t xml:space="preserve">already </w:t>
      </w:r>
      <w:r w:rsidR="000B4B03">
        <w:t xml:space="preserve">can get </w:t>
      </w:r>
      <w:r w:rsidR="000B4B03" w:rsidRPr="000B4B03">
        <w:rPr>
          <w:u w:val="single"/>
        </w:rPr>
        <w:t xml:space="preserve">access to relevant </w:t>
      </w:r>
      <w:r w:rsidR="004D4419" w:rsidRPr="000B4B03">
        <w:rPr>
          <w:u w:val="single"/>
        </w:rPr>
        <w:t xml:space="preserve">information </w:t>
      </w:r>
      <w:r w:rsidR="000B4B03" w:rsidRPr="000B4B03">
        <w:rPr>
          <w:u w:val="single"/>
        </w:rPr>
        <w:t>from private market intelligence companies</w:t>
      </w:r>
      <w:r w:rsidR="000B4B03">
        <w:t>.</w:t>
      </w:r>
      <w:r w:rsidR="004D4419">
        <w:t xml:space="preserve"> </w:t>
      </w:r>
      <w:r w:rsidR="000B4B03">
        <w:t>Making this type</w:t>
      </w:r>
      <w:r w:rsidR="004D4419">
        <w:t xml:space="preserve"> of data public </w:t>
      </w:r>
      <w:r w:rsidR="000B4B03">
        <w:t xml:space="preserve">will therefore </w:t>
      </w:r>
      <w:r w:rsidR="004D4419">
        <w:t xml:space="preserve">to </w:t>
      </w:r>
      <w:r w:rsidR="000B4B03">
        <w:t>rather improve the position of </w:t>
      </w:r>
      <w:r w:rsidR="004D4419">
        <w:t>agricultural producers and the funct</w:t>
      </w:r>
      <w:r w:rsidR="000B4B03">
        <w:t xml:space="preserve">ioning of the food supply chain in the EU. </w:t>
      </w:r>
    </w:p>
    <w:p w:rsidR="0055627A" w:rsidRDefault="0055627A" w:rsidP="0055627A">
      <w:pPr>
        <w:keepLines/>
      </w:pPr>
      <w:r w:rsidRPr="001E3E40">
        <w:t xml:space="preserve">Agricultural </w:t>
      </w:r>
      <w:r w:rsidRPr="007E4A09">
        <w:rPr>
          <w:b/>
        </w:rPr>
        <w:t>producers</w:t>
      </w:r>
      <w:r>
        <w:t xml:space="preserve"> </w:t>
      </w:r>
      <w:r w:rsidR="00AA1BC7">
        <w:t>support</w:t>
      </w:r>
      <w:r>
        <w:t xml:space="preserve"> increasing market transparency</w:t>
      </w:r>
      <w:r w:rsidR="00AA1BC7">
        <w:t xml:space="preserve"> (more and better – i.e. representative &amp; reliable – market data from down the chain that is published at a high frequency)</w:t>
      </w:r>
      <w:r>
        <w:t xml:space="preserve">. </w:t>
      </w:r>
      <w:r w:rsidR="00AA1BC7">
        <w:t xml:space="preserve">Producers </w:t>
      </w:r>
      <w:r>
        <w:t xml:space="preserve">highlight the existing </w:t>
      </w:r>
      <w:r w:rsidRPr="00197C59">
        <w:rPr>
          <w:u w:val="single"/>
        </w:rPr>
        <w:t>asymmetry in access to market information</w:t>
      </w:r>
      <w:r>
        <w:t xml:space="preserve"> between the production stage and other stages of the chain. </w:t>
      </w:r>
      <w:r w:rsidR="00AA1BC7">
        <w:t xml:space="preserve">The </w:t>
      </w:r>
      <w:r>
        <w:t>ad</w:t>
      </w:r>
      <w:r w:rsidR="00AA1BC7">
        <w:softHyphen/>
      </w:r>
      <w:r>
        <w:t>van</w:t>
      </w:r>
      <w:r>
        <w:softHyphen/>
        <w:t xml:space="preserve">tages </w:t>
      </w:r>
      <w:r w:rsidR="00AA1BC7">
        <w:t>they see are</w:t>
      </w:r>
      <w:r>
        <w:t xml:space="preserve">: </w:t>
      </w:r>
      <w:r w:rsidRPr="00197C59">
        <w:rPr>
          <w:u w:val="single"/>
        </w:rPr>
        <w:t>Price data is a key market signal</w:t>
      </w:r>
      <w:r>
        <w:t xml:space="preserve"> to inform producer deci</w:t>
      </w:r>
      <w:r w:rsidR="00AA1BC7">
        <w:softHyphen/>
      </w:r>
      <w:r>
        <w:t xml:space="preserve">sions. Better and more data, esp. at the processing stages, is a pre-requisite for the analysis and better </w:t>
      </w:r>
      <w:r w:rsidRPr="00197C59">
        <w:rPr>
          <w:u w:val="single"/>
        </w:rPr>
        <w:t>understanding of market developments</w:t>
      </w:r>
      <w:r>
        <w:t xml:space="preserve">. Increased market transparency can increase </w:t>
      </w:r>
      <w:r w:rsidRPr="00197C59">
        <w:rPr>
          <w:u w:val="single"/>
        </w:rPr>
        <w:t>trust between operators</w:t>
      </w:r>
      <w:r>
        <w:t xml:space="preserve">. </w:t>
      </w:r>
    </w:p>
    <w:p w:rsidR="004D4419" w:rsidRPr="00CF302C" w:rsidRDefault="004D4419" w:rsidP="004D4419">
      <w:r>
        <w:t xml:space="preserve">The </w:t>
      </w:r>
      <w:r w:rsidRPr="007E4A09">
        <w:rPr>
          <w:b/>
        </w:rPr>
        <w:t xml:space="preserve">retail </w:t>
      </w:r>
      <w:r w:rsidRPr="001E3E40">
        <w:t>sector</w:t>
      </w:r>
      <w:r>
        <w:t xml:space="preserve"> has stated </w:t>
      </w:r>
      <w:r w:rsidR="001E3E40">
        <w:t xml:space="preserve">that </w:t>
      </w:r>
      <w:r>
        <w:t xml:space="preserve">it is </w:t>
      </w:r>
      <w:r w:rsidRPr="007F1329">
        <w:rPr>
          <w:u w:val="single"/>
        </w:rPr>
        <w:t>generally in favour</w:t>
      </w:r>
      <w:r>
        <w:t xml:space="preserve"> of increased market trans</w:t>
      </w:r>
      <w:r w:rsidR="00AA1BC7">
        <w:softHyphen/>
      </w:r>
      <w:r>
        <w:t>parency</w:t>
      </w:r>
      <w:r w:rsidR="001E3E40">
        <w:t xml:space="preserve"> (it </w:t>
      </w:r>
      <w:r>
        <w:t xml:space="preserve">may benefit </w:t>
      </w:r>
      <w:r w:rsidR="001E3E40">
        <w:t xml:space="preserve">to the extent that </w:t>
      </w:r>
      <w:r>
        <w:t>it can better benchmark prices paid to its suppliers</w:t>
      </w:r>
      <w:r w:rsidR="001E3E40">
        <w:t>)</w:t>
      </w:r>
      <w:r>
        <w:t>. However, should there be an introduction of data reporting obligations for retailers</w:t>
      </w:r>
      <w:r w:rsidR="001E3E40">
        <w:t xml:space="preserve"> – where retailers are not already reporting the data at Member State level – </w:t>
      </w:r>
      <w:r w:rsidR="00DE650F">
        <w:t xml:space="preserve">this </w:t>
      </w:r>
      <w:r>
        <w:t>could entail a</w:t>
      </w:r>
      <w:r w:rsidR="001E3E40">
        <w:t>dditional data collection costs</w:t>
      </w:r>
      <w:r>
        <w:t xml:space="preserve">. A </w:t>
      </w:r>
      <w:r w:rsidR="00DE650F">
        <w:t>fallback</w:t>
      </w:r>
      <w:r>
        <w:t xml:space="preserve"> position may be the introduction of voluntary reporting mechanisms for retailers. </w:t>
      </w:r>
      <w:r w:rsidR="00DE650F" w:rsidRPr="007F1329">
        <w:rPr>
          <w:u w:val="single"/>
        </w:rPr>
        <w:t>R</w:t>
      </w:r>
      <w:r w:rsidRPr="007F1329">
        <w:rPr>
          <w:u w:val="single"/>
        </w:rPr>
        <w:t>eporting by retailers may also raise data confidentiality issues</w:t>
      </w:r>
      <w:r>
        <w:t>, as well as concerns with anti-competitive effects (noting that existing EU legislation on market trans</w:t>
      </w:r>
      <w:r w:rsidR="007F1329">
        <w:softHyphen/>
      </w:r>
      <w:r>
        <w:t xml:space="preserve">parency in the EU already protects confidentiality and addresses competition concerns). It is possible that the retail sector reviews its position when there are more details on what </w:t>
      </w:r>
      <w:r w:rsidR="00DE650F">
        <w:t xml:space="preserve">the </w:t>
      </w:r>
      <w:r>
        <w:t>Commission proposal include</w:t>
      </w:r>
      <w:r w:rsidR="00DE650F">
        <w:t>s</w:t>
      </w:r>
      <w:r>
        <w:t>.</w:t>
      </w:r>
      <w:r w:rsidR="007E4A09">
        <w:t xml:space="preserve"> </w:t>
      </w:r>
    </w:p>
    <w:sectPr w:rsidR="004D4419" w:rsidRPr="00CF302C" w:rsidSect="00497722">
      <w:footerReference w:type="default" r:id="rId7"/>
      <w:pgSz w:w="11906" w:h="16838" w:code="9"/>
      <w:pgMar w:top="1021" w:right="1134" w:bottom="1134" w:left="119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61" w:rsidRDefault="004C7E61" w:rsidP="004C7E61">
      <w:pPr>
        <w:spacing w:before="0" w:line="240" w:lineRule="auto"/>
      </w:pPr>
      <w:r>
        <w:separator/>
      </w:r>
    </w:p>
  </w:endnote>
  <w:endnote w:type="continuationSeparator" w:id="0">
    <w:p w:rsidR="004C7E61" w:rsidRDefault="004C7E61" w:rsidP="004C7E6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1253784"/>
      <w:docPartObj>
        <w:docPartGallery w:val="Page Numbers (Bottom of Page)"/>
        <w:docPartUnique/>
      </w:docPartObj>
    </w:sdtPr>
    <w:sdtEndPr/>
    <w:sdtContent>
      <w:p w:rsidR="004C7E61" w:rsidRPr="00410B94" w:rsidRDefault="004C7E61" w:rsidP="00410B94">
        <w:pPr>
          <w:pStyle w:val="Footer"/>
        </w:pPr>
        <w:r w:rsidRPr="00410B94">
          <w:fldChar w:fldCharType="begin"/>
        </w:r>
        <w:r w:rsidRPr="00410B94">
          <w:instrText xml:space="preserve"> PAGE   \* MERGEFORMAT </w:instrText>
        </w:r>
        <w:r w:rsidRPr="00410B94">
          <w:fldChar w:fldCharType="separate"/>
        </w:r>
        <w:r w:rsidR="00370D49">
          <w:rPr>
            <w:noProof/>
          </w:rPr>
          <w:t>1</w:t>
        </w:r>
        <w:r w:rsidRPr="00410B94">
          <w:fldChar w:fldCharType="end"/>
        </w:r>
        <w:r w:rsidRPr="00410B94">
          <w:t>/</w:t>
        </w:r>
        <w:r w:rsidR="00EF6C8B">
          <w:rPr>
            <w:noProof/>
          </w:rPr>
          <w:fldChar w:fldCharType="begin"/>
        </w:r>
        <w:r w:rsidR="00EF6C8B">
          <w:rPr>
            <w:noProof/>
          </w:rPr>
          <w:instrText xml:space="preserve"> NUMPAGES   \* MERGEFORMAT </w:instrText>
        </w:r>
        <w:r w:rsidR="00EF6C8B">
          <w:rPr>
            <w:noProof/>
          </w:rPr>
          <w:fldChar w:fldCharType="separate"/>
        </w:r>
        <w:r w:rsidR="00370D49">
          <w:rPr>
            <w:noProof/>
          </w:rPr>
          <w:t>7</w:t>
        </w:r>
        <w:r w:rsidR="00EF6C8B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61" w:rsidRDefault="004C7E61" w:rsidP="004C7E61">
      <w:pPr>
        <w:spacing w:before="0" w:line="240" w:lineRule="auto"/>
      </w:pPr>
      <w:r>
        <w:separator/>
      </w:r>
    </w:p>
  </w:footnote>
  <w:footnote w:type="continuationSeparator" w:id="0">
    <w:p w:rsidR="004C7E61" w:rsidRDefault="004C7E61" w:rsidP="004C7E6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933"/>
    <w:multiLevelType w:val="hybridMultilevel"/>
    <w:tmpl w:val="2E4CA2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5E8A"/>
    <w:multiLevelType w:val="hybridMultilevel"/>
    <w:tmpl w:val="B6A69E9C"/>
    <w:lvl w:ilvl="0" w:tplc="70BE945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DF88F4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905025"/>
    <w:multiLevelType w:val="hybridMultilevel"/>
    <w:tmpl w:val="B0B82CF0"/>
    <w:lvl w:ilvl="0" w:tplc="70BE945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B3562C"/>
    <w:multiLevelType w:val="hybridMultilevel"/>
    <w:tmpl w:val="3FBA2DC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B0311B"/>
    <w:multiLevelType w:val="hybridMultilevel"/>
    <w:tmpl w:val="33C0BF64"/>
    <w:lvl w:ilvl="0" w:tplc="DF88F4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F88F4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085C"/>
    <w:multiLevelType w:val="hybridMultilevel"/>
    <w:tmpl w:val="88B28820"/>
    <w:lvl w:ilvl="0" w:tplc="DF88F4BE">
      <w:numFmt w:val="bullet"/>
      <w:lvlText w:val="-"/>
      <w:lvlJc w:val="left"/>
      <w:pPr>
        <w:ind w:left="700" w:hanging="360"/>
      </w:pPr>
      <w:rPr>
        <w:rFonts w:ascii="Calibri" w:eastAsiaTheme="minorHAnsi" w:hAnsi="Calibri" w:cs="Calibri" w:hint="default"/>
      </w:rPr>
    </w:lvl>
    <w:lvl w:ilvl="1" w:tplc="0809000F">
      <w:start w:val="1"/>
      <w:numFmt w:val="decimal"/>
      <w:lvlText w:val="%2."/>
      <w:lvlJc w:val="left"/>
      <w:pPr>
        <w:ind w:left="142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29D47091"/>
    <w:multiLevelType w:val="hybridMultilevel"/>
    <w:tmpl w:val="69E276F0"/>
    <w:lvl w:ilvl="0" w:tplc="4462E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14B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AE8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32F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2D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42B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DA1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0E3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63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5F006C"/>
    <w:multiLevelType w:val="hybridMultilevel"/>
    <w:tmpl w:val="9B94E2C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816A89"/>
    <w:multiLevelType w:val="hybridMultilevel"/>
    <w:tmpl w:val="A440A26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CF3B06"/>
    <w:multiLevelType w:val="hybridMultilevel"/>
    <w:tmpl w:val="063CA0FA"/>
    <w:lvl w:ilvl="0" w:tplc="08090005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327DCF"/>
    <w:multiLevelType w:val="hybridMultilevel"/>
    <w:tmpl w:val="84AEA6DE"/>
    <w:lvl w:ilvl="0" w:tplc="DF88F4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03868"/>
    <w:multiLevelType w:val="hybridMultilevel"/>
    <w:tmpl w:val="D2D24228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E7C4168"/>
    <w:multiLevelType w:val="hybridMultilevel"/>
    <w:tmpl w:val="F22C1468"/>
    <w:lvl w:ilvl="0" w:tplc="16C85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126F7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CE2C9E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0E64A2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D48C3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DE876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0C249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CCE6F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78247F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7"/>
  </w:num>
  <w:num w:numId="7">
    <w:abstractNumId w:val="3"/>
  </w:num>
  <w:num w:numId="8">
    <w:abstractNumId w:val="12"/>
  </w:num>
  <w:num w:numId="9">
    <w:abstractNumId w:val="6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15"/>
    <w:rsid w:val="000B4B03"/>
    <w:rsid w:val="00111A79"/>
    <w:rsid w:val="00197C59"/>
    <w:rsid w:val="001E3E40"/>
    <w:rsid w:val="00262AD1"/>
    <w:rsid w:val="00287F7B"/>
    <w:rsid w:val="00325FC2"/>
    <w:rsid w:val="00370D49"/>
    <w:rsid w:val="003B3D16"/>
    <w:rsid w:val="003E5952"/>
    <w:rsid w:val="00410B94"/>
    <w:rsid w:val="00422582"/>
    <w:rsid w:val="0046483B"/>
    <w:rsid w:val="0046588C"/>
    <w:rsid w:val="00493015"/>
    <w:rsid w:val="00497722"/>
    <w:rsid w:val="004C7E61"/>
    <w:rsid w:val="004D4419"/>
    <w:rsid w:val="004E6215"/>
    <w:rsid w:val="0055627A"/>
    <w:rsid w:val="0057602D"/>
    <w:rsid w:val="0058711F"/>
    <w:rsid w:val="005A5030"/>
    <w:rsid w:val="00670B05"/>
    <w:rsid w:val="006E0E23"/>
    <w:rsid w:val="00721D41"/>
    <w:rsid w:val="00733F5B"/>
    <w:rsid w:val="00747747"/>
    <w:rsid w:val="007E4A09"/>
    <w:rsid w:val="007F1329"/>
    <w:rsid w:val="008B62E0"/>
    <w:rsid w:val="008F1313"/>
    <w:rsid w:val="00924CF9"/>
    <w:rsid w:val="009804A0"/>
    <w:rsid w:val="009A16E3"/>
    <w:rsid w:val="009B3E26"/>
    <w:rsid w:val="009B67F5"/>
    <w:rsid w:val="009D1928"/>
    <w:rsid w:val="009D4A9C"/>
    <w:rsid w:val="00A53038"/>
    <w:rsid w:val="00A6120A"/>
    <w:rsid w:val="00A912E2"/>
    <w:rsid w:val="00AA1BC7"/>
    <w:rsid w:val="00AE3737"/>
    <w:rsid w:val="00AF5CBF"/>
    <w:rsid w:val="00B04ACE"/>
    <w:rsid w:val="00B35270"/>
    <w:rsid w:val="00B775F3"/>
    <w:rsid w:val="00BF1A13"/>
    <w:rsid w:val="00CF302C"/>
    <w:rsid w:val="00D22B87"/>
    <w:rsid w:val="00D77CF0"/>
    <w:rsid w:val="00D809AD"/>
    <w:rsid w:val="00DB2FDD"/>
    <w:rsid w:val="00DC47F4"/>
    <w:rsid w:val="00DE650F"/>
    <w:rsid w:val="00DF710F"/>
    <w:rsid w:val="00E26CE7"/>
    <w:rsid w:val="00E477B3"/>
    <w:rsid w:val="00E77866"/>
    <w:rsid w:val="00EF6C8B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ECF65-4F76-48D4-80F7-AA1EDE97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B94"/>
    <w:pPr>
      <w:spacing w:before="120" w:after="0"/>
    </w:pPr>
    <w:rPr>
      <w:rFonts w:cstheme="minorHAnsi"/>
      <w:sz w:val="28"/>
      <w:szCs w:val="28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02C"/>
    <w:pPr>
      <w:keepNext/>
      <w:spacing w:before="240" w:after="120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F5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A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F302C"/>
    <w:rPr>
      <w:rFonts w:cstheme="minorHAnsi"/>
      <w:b/>
      <w:sz w:val="28"/>
      <w:szCs w:val="28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4C7E6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E61"/>
    <w:rPr>
      <w:rFonts w:cstheme="minorHAnsi"/>
      <w:sz w:val="28"/>
      <w:szCs w:val="28"/>
      <w:lang w:val="en-IE"/>
    </w:rPr>
  </w:style>
  <w:style w:type="paragraph" w:styleId="Footer">
    <w:name w:val="footer"/>
    <w:basedOn w:val="Normal"/>
    <w:link w:val="FooterChar"/>
    <w:uiPriority w:val="99"/>
    <w:rsid w:val="00410B94"/>
    <w:pPr>
      <w:tabs>
        <w:tab w:val="center" w:pos="4513"/>
        <w:tab w:val="right" w:pos="9026"/>
      </w:tabs>
      <w:spacing w:before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410B94"/>
    <w:rPr>
      <w:rFonts w:cstheme="minorHAnsi"/>
      <w:sz w:val="28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1391">
          <w:marLeft w:val="27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209">
          <w:marLeft w:val="27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953">
          <w:marLeft w:val="36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1200">
          <w:marLeft w:val="36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032">
          <w:marLeft w:val="36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10660</Characters>
  <Application>Microsoft Office Word</Application>
  <DocSecurity>4</DocSecurity>
  <Lines>217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 Marcelo (AGRI)</dc:creator>
  <cp:keywords/>
  <dc:description/>
  <cp:lastModifiedBy>VAN DEN BUSSCHE Alena (AGRI)</cp:lastModifiedBy>
  <cp:revision>2</cp:revision>
  <cp:lastPrinted>2019-03-08T10:05:00Z</cp:lastPrinted>
  <dcterms:created xsi:type="dcterms:W3CDTF">2019-04-02T12:04:00Z</dcterms:created>
  <dcterms:modified xsi:type="dcterms:W3CDTF">2019-04-02T12:04:00Z</dcterms:modified>
</cp:coreProperties>
</file>